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19B5"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8319B5" w:rsidRDefault="00000000">
      <w:pPr>
        <w:pStyle w:val="FirstParagraph"/>
      </w:pPr>
      <w:r>
        <w:t>Stephen Thomas</w:t>
      </w:r>
      <w:r>
        <w:rPr>
          <w:vertAlign w:val="superscript"/>
        </w:rPr>
        <w:t>1</w:t>
      </w:r>
      <w:r>
        <w:t>, Ayatollah Samir El-Zayat</w:t>
      </w:r>
      <w:r>
        <w:rPr>
          <w:vertAlign w:val="superscript"/>
        </w:rPr>
        <w:t>2</w:t>
      </w:r>
      <w:r>
        <w:t>, James Gurney</w:t>
      </w:r>
      <w:r>
        <w:rPr>
          <w:vertAlign w:val="superscript"/>
        </w:rPr>
        <w:t>3</w:t>
      </w:r>
      <w:r>
        <w:t>, Jennifer Rattray</w:t>
      </w:r>
      <w:r>
        <w:rPr>
          <w:vertAlign w:val="superscript"/>
        </w:rPr>
        <w:t>1</w:t>
      </w:r>
      <w:r>
        <w:t>, Sam P. Brown</w:t>
      </w:r>
      <w:r>
        <w:rPr>
          <w:vertAlign w:val="superscript"/>
        </w:rPr>
        <w:t>1</w:t>
      </w:r>
    </w:p>
    <w:p w:rsidR="008319B5" w:rsidRDefault="00000000">
      <w:pPr>
        <w:pStyle w:val="Compact"/>
        <w:numPr>
          <w:ilvl w:val="0"/>
          <w:numId w:val="3"/>
        </w:numPr>
      </w:pPr>
      <w:r>
        <w:t>School of Biological Sciences, Georgia Institute of Technology, Atlanta, GA USA 30332.</w:t>
      </w:r>
    </w:p>
    <w:p w:rsidR="008319B5" w:rsidRDefault="00000000">
      <w:pPr>
        <w:pStyle w:val="Compact"/>
        <w:numPr>
          <w:ilvl w:val="0"/>
          <w:numId w:val="3"/>
        </w:numPr>
      </w:pPr>
      <w:r>
        <w:t>Faculty of Agriculture, Cairo University, Cairo, Egypt 12613.</w:t>
      </w:r>
    </w:p>
    <w:p w:rsidR="008319B5" w:rsidRDefault="00000000">
      <w:pPr>
        <w:pStyle w:val="Compact"/>
        <w:numPr>
          <w:ilvl w:val="0"/>
          <w:numId w:val="3"/>
        </w:numPr>
      </w:pPr>
      <w:r>
        <w:t>Department of Biology, College of Arts and Sciences, Georgia State University, Atlanta, GA USA 30303.</w:t>
      </w:r>
    </w:p>
    <w:p w:rsidR="008319B5"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null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reciprocally, but they do so cooperatively and nonlinearly, with the combination of C</w:t>
      </w:r>
      <w:r>
        <w:rPr>
          <w:vertAlign w:val="subscript"/>
        </w:rPr>
        <w:t>4</w:t>
      </w:r>
      <w:r>
        <w:t>‑HSL and 3‑oxo‑C</w:t>
      </w:r>
      <w:r>
        <w:rPr>
          <w:vertAlign w:val="subscript"/>
        </w:rPr>
        <w:t>12</w:t>
      </w:r>
      <w:r>
        <w:t>‑HSL increasing expression level far more than the sum of their individual effects. We computationally assess how our parameterized model responds to variation in social (population density) and physical (mass transfer) environment and demonstrate that a reciprocal architecture is more responsive to density and more robust to mass transfer than a strict hierarchy.</w:t>
      </w:r>
    </w:p>
    <w:p w:rsidR="008319B5" w:rsidRDefault="00000000">
      <w:pPr>
        <w:pStyle w:val="Heading2"/>
      </w:pPr>
      <w:bookmarkStart w:id="1" w:name="introduction"/>
      <w:r>
        <w:t>Introduction</w:t>
      </w:r>
    </w:p>
    <w:p w:rsidR="008319B5" w:rsidRDefault="00000000">
      <w:pPr>
        <w:pStyle w:val="FirstParagraph"/>
      </w:pPr>
      <w:r>
        <w:t xml:space="preserve">Bacterial cells of many species communicate with each other by exchanging diffusible signal molecules (Papenfort and Bassler 2016; Whiteley, Diggle, and Greenberg 2017). This mechanism, known as quorum sensing (QS), has been well-studied at the level of specific molecular interactions. We now understand how those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guide bacterial actions in response to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8319B5" w:rsidRDefault="00000000">
      <w:pPr>
        <w:pStyle w:val="BodyText"/>
      </w:pPr>
      <w:r>
        <w:lastRenderedPageBreak/>
        <w:t xml:space="preserve">Quorum sensing relies on several components interacting in a dynamical system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8319B5"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8319B5" w:rsidRDefault="00000000">
      <w:pPr>
        <w:pStyle w:val="CaptionedFigure"/>
      </w:pPr>
      <w:r>
        <w:rPr>
          <w:noProof/>
        </w:rPr>
        <w:lastRenderedPageBreak/>
        <w:drawing>
          <wp:inline distT="0" distB="0" distL="0" distR="0">
            <wp:extent cx="5238750" cy="4286250"/>
            <wp:effectExtent l="0" t="0" r="0" b="0"/>
            <wp:docPr id="21" name="Picture" descr="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8319B5"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8319B5"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SI.1 and SI.2).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8319B5" w:rsidRDefault="00000000">
      <w:pPr>
        <w:pStyle w:val="CaptionedFigure"/>
      </w:pPr>
      <w:r>
        <w:rPr>
          <w:noProof/>
        </w:rPr>
        <w:lastRenderedPageBreak/>
        <w:drawing>
          <wp:inline distT="0" distB="0" distL="0" distR="0">
            <wp:extent cx="5238750" cy="4286250"/>
            <wp:effectExtent l="0" t="0" r="0" b="0"/>
            <wp:docPr id="25" name="Picture" descr="hierarchy"/>
            <wp:cNvGraphicFramePr/>
            <a:graphic xmlns:a="http://schemas.openxmlformats.org/drawingml/2006/main">
              <a:graphicData uri="http://schemas.openxmlformats.org/drawingml/2006/picture">
                <pic:pic xmlns:pic="http://schemas.openxmlformats.org/drawingml/2006/picture">
                  <pic:nvPicPr>
                    <pic:cNvPr id="26" name="Picture" descr="Figures/hierarchy.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8319B5"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8319B5" w:rsidRDefault="00000000">
      <w:pPr>
        <w:pStyle w:val="BodyText"/>
      </w:pPr>
      <w:r>
        <w:t xml:space="preserve">Our experiments explicitly examine the influence of both QS systems on each other, and the resulting data reveal three key insights.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influences the </w:t>
      </w:r>
      <w:r>
        <w:rPr>
          <w:i/>
          <w:iCs/>
        </w:rPr>
        <w:t>las</w:t>
      </w:r>
      <w:r>
        <w:t xml:space="preserve"> system, specifically expression of </w:t>
      </w:r>
      <w:r>
        <w:rPr>
          <w:i/>
          <w:iCs/>
        </w:rPr>
        <w:t>lasI.</w:t>
      </w:r>
      <w:r>
        <w:t xml:space="preserve"> Second, we show that maximum expression of genes in both QS systems requires both signals in combination, highlighting the importance of understanding the nature of the relationship between these systems. Finally, we demonstrate how that relationship can affect QS-controlled behavior. In particular, we show that, compared to a strict hiearchy, the reciprocity we observe provides more sensitivity to population density and more robustness to interfering physical environmental conditions.</w:t>
      </w:r>
    </w:p>
    <w:p w:rsidR="008319B5" w:rsidRDefault="00000000">
      <w:pPr>
        <w:pStyle w:val="Heading2"/>
      </w:pPr>
      <w:bookmarkStart w:id="2" w:name="results"/>
      <w:bookmarkEnd w:id="1"/>
      <w:r>
        <w:t>Results</w:t>
      </w:r>
    </w:p>
    <w:p w:rsidR="008319B5"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 signal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t>
      </w:r>
      <w:r>
        <w:lastRenderedPageBreak/>
        <w:t xml:space="preserve">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8319B5" w:rsidRDefault="00000000">
      <w:pPr>
        <w:pStyle w:val="Heading3"/>
      </w:pPr>
      <w:bookmarkStart w:id="3" w:name="X07d8eef75b20be03a4367928cbb9124014b7bcf"/>
      <w:r>
        <w:t xml:space="preserve">The </w:t>
      </w:r>
      <w:r>
        <w:rPr>
          <w:i/>
          <w:iCs/>
        </w:rPr>
        <w:t>las</w:t>
      </w:r>
      <w:r>
        <w:t xml:space="preserve"> and </w:t>
      </w:r>
      <w:r>
        <w:rPr>
          <w:i/>
          <w:iCs/>
        </w:rPr>
        <w:t>rhl</w:t>
      </w:r>
      <w:r>
        <w:t xml:space="preserve"> Systems Influence Each Other</w:t>
      </w:r>
    </w:p>
    <w:p w:rsidR="008319B5"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8319B5" w:rsidRDefault="00000000">
      <w:pPr>
        <w:pStyle w:val="CaptionedFigure"/>
      </w:pPr>
      <w:r>
        <w:rPr>
          <w:noProof/>
        </w:rPr>
        <w:drawing>
          <wp:inline distT="0" distB="0" distL="0" distR="0">
            <wp:extent cx="5657850" cy="2571750"/>
            <wp:effectExtent l="0" t="0" r="0" b="0"/>
            <wp:docPr id="30" name="Picture" descr="single_c12"/>
            <wp:cNvGraphicFramePr/>
            <a:graphic xmlns:a="http://schemas.openxmlformats.org/drawingml/2006/main">
              <a:graphicData uri="http://schemas.openxmlformats.org/drawingml/2006/picture">
                <pic:pic xmlns:pic="http://schemas.openxmlformats.org/drawingml/2006/picture">
                  <pic:nvPicPr>
                    <pic:cNvPr id="31" name="Picture" descr="Figures/single_c12.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319B5"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w:t>
      </w:r>
    </w:p>
    <w:p w:rsidR="008319B5"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8319B5" w:rsidRDefault="00000000">
      <w:pPr>
        <w:pStyle w:val="CaptionedFigure"/>
      </w:pPr>
      <w:r>
        <w:rPr>
          <w:noProof/>
        </w:rPr>
        <w:lastRenderedPageBreak/>
        <w:drawing>
          <wp:inline distT="0" distB="0" distL="0" distR="0">
            <wp:extent cx="5657850" cy="2571750"/>
            <wp:effectExtent l="0" t="0" r="0" b="0"/>
            <wp:docPr id="34" name="Picture" descr="single_c4"/>
            <wp:cNvGraphicFramePr/>
            <a:graphic xmlns:a="http://schemas.openxmlformats.org/drawingml/2006/main">
              <a:graphicData uri="http://schemas.openxmlformats.org/drawingml/2006/picture">
                <pic:pic xmlns:pic="http://schemas.openxmlformats.org/drawingml/2006/picture">
                  <pic:nvPicPr>
                    <pic:cNvPr id="35" name="Picture" descr="Figures/single_c4.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319B5"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w:t>
      </w:r>
    </w:p>
    <w:p w:rsidR="008319B5"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8319B5" w:rsidRPr="00E70970"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8319B5" w:rsidRDefault="00E70970">
      <w:pPr>
        <w:pStyle w:val="FirstParagraph"/>
      </w:pPr>
      <w:r>
        <w:rPr>
          <w:noProof/>
        </w:rPr>
        <w:drawing>
          <wp:inline distT="0" distB="0" distL="0" distR="0">
            <wp:extent cx="5942308" cy="2184400"/>
            <wp:effectExtent l="0" t="0" r="0" b="0"/>
            <wp:docPr id="5388948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4862" name="Graphic 53889486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67272" cy="2193577"/>
                    </a:xfrm>
                    <a:prstGeom prst="rect">
                      <a:avLst/>
                    </a:prstGeom>
                  </pic:spPr>
                </pic:pic>
              </a:graphicData>
            </a:graphic>
          </wp:inline>
        </w:drawing>
      </w:r>
    </w:p>
    <w:p w:rsidR="008319B5" w:rsidRDefault="00000000" w:rsidP="00E70970">
      <w:pPr>
        <w:pStyle w:val="BodyText"/>
      </w:pPr>
      <w:r>
        <w:lastRenderedPageBreak/>
        <w:t>By minimizing the sum of squared error (with non-linear regression using the Gauss-Newton algorithm), we estimate model parameters from our data, using only those observations in which a single signal is present. Table 1 presents the results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xml:space="preserve">) for both signals.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bookmarkStart w:id="4" w:name="tbl:singlesignal"/>
    </w:p>
    <w:tbl>
      <w:tblPr>
        <w:tblStyle w:val="Table"/>
        <w:tblW w:w="0" w:type="auto"/>
        <w:tblLook w:val="0020" w:firstRow="1" w:lastRow="0" w:firstColumn="0" w:lastColumn="0" w:noHBand="0" w:noVBand="0"/>
        <w:tblCaption w:val="Table 1: singlesignal"/>
      </w:tblPr>
      <w:tblGrid>
        <w:gridCol w:w="723"/>
        <w:gridCol w:w="1710"/>
        <w:gridCol w:w="1863"/>
        <w:gridCol w:w="1338"/>
        <w:gridCol w:w="1650"/>
        <w:gridCol w:w="1536"/>
      </w:tblGrid>
      <w:tr w:rsidR="008319B5" w:rsidTr="00E70970">
        <w:trPr>
          <w:cnfStyle w:val="100000000000" w:firstRow="1" w:lastRow="0" w:firstColumn="0" w:lastColumn="0" w:oddVBand="0" w:evenVBand="0" w:oddHBand="0" w:evenHBand="0" w:firstRowFirstColumn="0" w:firstRowLastColumn="0" w:lastRowFirstColumn="0" w:lastRowLastColumn="0"/>
          <w:tblHeader/>
        </w:trPr>
        <w:tc>
          <w:tcPr>
            <w:tcW w:w="0" w:type="auto"/>
          </w:tcPr>
          <w:p w:rsidR="008319B5" w:rsidRDefault="00000000">
            <w:pPr>
              <w:pStyle w:val="Compact"/>
            </w:pPr>
            <w:r>
              <w:t>Gene</w:t>
            </w:r>
          </w:p>
        </w:tc>
        <w:tc>
          <w:tcPr>
            <w:tcW w:w="0" w:type="auto"/>
          </w:tcPr>
          <w:p w:rsidR="008319B5" w:rsidRDefault="00000000">
            <w:pPr>
              <w:pStyle w:val="Compact"/>
            </w:pPr>
            <w:r>
              <w:t>Signal</w:t>
            </w:r>
          </w:p>
        </w:tc>
        <w:tc>
          <w:tcPr>
            <w:tcW w:w="0" w:type="auto"/>
          </w:tcPr>
          <w:p w:rsidR="008319B5" w:rsidRDefault="00000000">
            <w:pPr>
              <w:pStyle w:val="Compact"/>
            </w:pPr>
            <w:r>
              <w:t>Parameter</w:t>
            </w:r>
          </w:p>
        </w:tc>
        <w:tc>
          <w:tcPr>
            <w:tcW w:w="0" w:type="auto"/>
          </w:tcPr>
          <w:p w:rsidR="008319B5" w:rsidRDefault="00000000">
            <w:pPr>
              <w:pStyle w:val="Compact"/>
              <w:jc w:val="center"/>
            </w:pPr>
            <w:r>
              <w:t>Derivation</w:t>
            </w:r>
          </w:p>
        </w:tc>
        <w:tc>
          <w:tcPr>
            <w:tcW w:w="0" w:type="auto"/>
          </w:tcPr>
          <w:p w:rsidR="008319B5" w:rsidRDefault="00000000">
            <w:pPr>
              <w:pStyle w:val="Compact"/>
              <w:jc w:val="center"/>
            </w:pPr>
            <w:r>
              <w:t>Estimate</w:t>
            </w:r>
          </w:p>
        </w:tc>
        <w:tc>
          <w:tcPr>
            <w:tcW w:w="0" w:type="auto"/>
          </w:tcPr>
          <w:p w:rsidR="008319B5" w:rsidRDefault="00000000">
            <w:pPr>
              <w:pStyle w:val="Compact"/>
              <w:jc w:val="right"/>
            </w:pPr>
            <w:r>
              <w:t>95% C.I.</w:t>
            </w:r>
          </w:p>
        </w:tc>
      </w:tr>
      <w:tr w:rsidR="008319B5" w:rsidTr="00E70970">
        <w:tc>
          <w:tcPr>
            <w:tcW w:w="0" w:type="auto"/>
          </w:tcPr>
          <w:p w:rsidR="008319B5" w:rsidRDefault="00000000">
            <w:pPr>
              <w:pStyle w:val="Compact"/>
            </w:pPr>
            <w:r>
              <w:rPr>
                <w:i/>
                <w:iCs/>
              </w:rPr>
              <w:t>lasI</w:t>
            </w:r>
          </w:p>
        </w:tc>
        <w:tc>
          <w:tcPr>
            <w:tcW w:w="0" w:type="auto"/>
          </w:tcPr>
          <w:p w:rsidR="008319B5" w:rsidRDefault="008319B5">
            <w:pPr>
              <w:pStyle w:val="Compact"/>
            </w:pPr>
          </w:p>
        </w:tc>
        <w:tc>
          <w:tcPr>
            <w:tcW w:w="0" w:type="auto"/>
          </w:tcPr>
          <w:p w:rsidR="008319B5" w:rsidRDefault="00000000">
            <w:pPr>
              <w:pStyle w:val="Compact"/>
            </w:pPr>
            <w:r>
              <w:t>Basal expression</w:t>
            </w:r>
          </w:p>
        </w:tc>
        <w:tc>
          <w:tcPr>
            <w:tcW w:w="0" w:type="auto"/>
          </w:tcPr>
          <w:p w:rsidR="008319B5" w:rsidRDefault="00000000">
            <w:pPr>
              <w:pStyle w:val="Compact"/>
              <w:jc w:val="center"/>
            </w:pPr>
            <w:r>
              <w:rPr>
                <w:i/>
                <w:iCs/>
              </w:rPr>
              <w:t>ɑ</w:t>
            </w:r>
            <w:r>
              <w:rPr>
                <w:vertAlign w:val="subscript"/>
              </w:rPr>
              <w:t>0</w:t>
            </w:r>
          </w:p>
        </w:tc>
        <w:tc>
          <w:tcPr>
            <w:tcW w:w="0" w:type="auto"/>
          </w:tcPr>
          <w:p w:rsidR="008319B5" w:rsidRDefault="00000000">
            <w:pPr>
              <w:pStyle w:val="Compact"/>
              <w:jc w:val="center"/>
            </w:pPr>
            <w:r>
              <w:t>1670 RLU/OD</w:t>
            </w:r>
          </w:p>
        </w:tc>
        <w:tc>
          <w:tcPr>
            <w:tcW w:w="0" w:type="auto"/>
          </w:tcPr>
          <w:p w:rsidR="008319B5" w:rsidRDefault="00000000">
            <w:pPr>
              <w:pStyle w:val="Compact"/>
              <w:jc w:val="right"/>
            </w:pPr>
            <w:r>
              <w:t>1619 – 1721</w:t>
            </w:r>
          </w:p>
        </w:tc>
      </w:tr>
      <w:tr w:rsidR="008319B5" w:rsidTr="00E70970">
        <w:tc>
          <w:tcPr>
            <w:tcW w:w="0" w:type="auto"/>
          </w:tcPr>
          <w:p w:rsidR="008319B5" w:rsidRDefault="008319B5">
            <w:pPr>
              <w:pStyle w:val="Compact"/>
            </w:pP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319B5" w:rsidRDefault="00000000">
            <w:pPr>
              <w:pStyle w:val="Compact"/>
              <w:jc w:val="center"/>
            </w:pPr>
            <w:r>
              <w:t>38 ×</w:t>
            </w:r>
          </w:p>
        </w:tc>
        <w:tc>
          <w:tcPr>
            <w:tcW w:w="0" w:type="auto"/>
          </w:tcPr>
          <w:p w:rsidR="008319B5" w:rsidRDefault="00000000">
            <w:pPr>
              <w:pStyle w:val="Compact"/>
              <w:jc w:val="right"/>
            </w:pPr>
            <w:r>
              <w:t>36 – 40</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p>
        </w:tc>
        <w:tc>
          <w:tcPr>
            <w:tcW w:w="0" w:type="auto"/>
          </w:tcPr>
          <w:p w:rsidR="008319B5" w:rsidRDefault="00000000">
            <w:pPr>
              <w:pStyle w:val="Compact"/>
              <w:jc w:val="center"/>
            </w:pPr>
            <w:r>
              <w:t>0.24 μM</w:t>
            </w:r>
          </w:p>
        </w:tc>
        <w:tc>
          <w:tcPr>
            <w:tcW w:w="0" w:type="auto"/>
          </w:tcPr>
          <w:p w:rsidR="008319B5" w:rsidRDefault="00000000">
            <w:pPr>
              <w:pStyle w:val="Compact"/>
              <w:jc w:val="right"/>
            </w:pPr>
            <w:r>
              <w:t>0.17 – 0.30</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319B5" w:rsidRDefault="00000000">
            <w:pPr>
              <w:pStyle w:val="Compact"/>
              <w:jc w:val="center"/>
            </w:pPr>
            <w:r>
              <w:t>6.4 ×</w:t>
            </w:r>
          </w:p>
        </w:tc>
        <w:tc>
          <w:tcPr>
            <w:tcW w:w="0" w:type="auto"/>
          </w:tcPr>
          <w:p w:rsidR="008319B5" w:rsidRDefault="00000000">
            <w:pPr>
              <w:pStyle w:val="Compact"/>
              <w:jc w:val="right"/>
            </w:pPr>
            <w:r>
              <w:t>5.8 – 7.0</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p>
        </w:tc>
        <w:tc>
          <w:tcPr>
            <w:tcW w:w="0" w:type="auto"/>
          </w:tcPr>
          <w:p w:rsidR="008319B5" w:rsidRDefault="00000000">
            <w:pPr>
              <w:pStyle w:val="Compact"/>
              <w:jc w:val="center"/>
            </w:pPr>
            <w:r>
              <w:t>1.0 μM</w:t>
            </w:r>
          </w:p>
        </w:tc>
        <w:tc>
          <w:tcPr>
            <w:tcW w:w="0" w:type="auto"/>
          </w:tcPr>
          <w:p w:rsidR="008319B5" w:rsidRDefault="00000000">
            <w:pPr>
              <w:pStyle w:val="Compact"/>
              <w:jc w:val="right"/>
            </w:pPr>
            <w:r>
              <w:t>0.7 – 1.4</w:t>
            </w:r>
          </w:p>
        </w:tc>
      </w:tr>
      <w:tr w:rsidR="008319B5" w:rsidTr="00E70970">
        <w:tc>
          <w:tcPr>
            <w:tcW w:w="0" w:type="auto"/>
          </w:tcPr>
          <w:p w:rsidR="008319B5" w:rsidRDefault="00000000">
            <w:pPr>
              <w:pStyle w:val="Compact"/>
            </w:pPr>
            <w:r>
              <w:rPr>
                <w:i/>
                <w:iCs/>
              </w:rPr>
              <w:t>rhlI</w:t>
            </w:r>
          </w:p>
        </w:tc>
        <w:tc>
          <w:tcPr>
            <w:tcW w:w="0" w:type="auto"/>
          </w:tcPr>
          <w:p w:rsidR="008319B5" w:rsidRDefault="008319B5">
            <w:pPr>
              <w:pStyle w:val="Compact"/>
            </w:pPr>
          </w:p>
        </w:tc>
        <w:tc>
          <w:tcPr>
            <w:tcW w:w="0" w:type="auto"/>
          </w:tcPr>
          <w:p w:rsidR="008319B5" w:rsidRDefault="00000000">
            <w:pPr>
              <w:pStyle w:val="Compact"/>
            </w:pPr>
            <w:r>
              <w:t>Basal expression</w:t>
            </w:r>
          </w:p>
        </w:tc>
        <w:tc>
          <w:tcPr>
            <w:tcW w:w="0" w:type="auto"/>
          </w:tcPr>
          <w:p w:rsidR="008319B5" w:rsidRDefault="00000000">
            <w:pPr>
              <w:pStyle w:val="Compact"/>
              <w:jc w:val="center"/>
            </w:pPr>
            <w:r>
              <w:rPr>
                <w:i/>
                <w:iCs/>
              </w:rPr>
              <w:t>ɑ</w:t>
            </w:r>
            <w:r>
              <w:rPr>
                <w:i/>
                <w:iCs/>
                <w:vertAlign w:val="subscript"/>
              </w:rPr>
              <w:t>0</w:t>
            </w:r>
          </w:p>
        </w:tc>
        <w:tc>
          <w:tcPr>
            <w:tcW w:w="0" w:type="auto"/>
          </w:tcPr>
          <w:p w:rsidR="008319B5" w:rsidRDefault="00000000">
            <w:pPr>
              <w:pStyle w:val="Compact"/>
              <w:jc w:val="center"/>
            </w:pPr>
            <w:r>
              <w:t>1861 RLU/OD</w:t>
            </w:r>
          </w:p>
        </w:tc>
        <w:tc>
          <w:tcPr>
            <w:tcW w:w="0" w:type="auto"/>
          </w:tcPr>
          <w:p w:rsidR="008319B5" w:rsidRDefault="00000000">
            <w:pPr>
              <w:pStyle w:val="Compact"/>
              <w:jc w:val="right"/>
            </w:pPr>
            <w:r>
              <w:t>1798 – 1923</w:t>
            </w:r>
          </w:p>
        </w:tc>
      </w:tr>
      <w:tr w:rsidR="008319B5" w:rsidTr="00E70970">
        <w:tc>
          <w:tcPr>
            <w:tcW w:w="0" w:type="auto"/>
          </w:tcPr>
          <w:p w:rsidR="008319B5" w:rsidRDefault="008319B5">
            <w:pPr>
              <w:pStyle w:val="Compact"/>
            </w:pP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319B5" w:rsidRDefault="00000000">
            <w:pPr>
              <w:pStyle w:val="Compact"/>
              <w:jc w:val="center"/>
            </w:pPr>
            <w:r>
              <w:t>35 ×</w:t>
            </w:r>
          </w:p>
        </w:tc>
        <w:tc>
          <w:tcPr>
            <w:tcW w:w="0" w:type="auto"/>
          </w:tcPr>
          <w:p w:rsidR="008319B5" w:rsidRDefault="00000000">
            <w:pPr>
              <w:pStyle w:val="Compact"/>
              <w:jc w:val="right"/>
            </w:pPr>
            <w:r>
              <w:t>34 – 36</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p>
        </w:tc>
        <w:tc>
          <w:tcPr>
            <w:tcW w:w="0" w:type="auto"/>
          </w:tcPr>
          <w:p w:rsidR="008319B5" w:rsidRDefault="00000000">
            <w:pPr>
              <w:pStyle w:val="Compact"/>
              <w:jc w:val="center"/>
            </w:pPr>
            <w:r>
              <w:t>0.052 μM</w:t>
            </w:r>
          </w:p>
        </w:tc>
        <w:tc>
          <w:tcPr>
            <w:tcW w:w="0" w:type="auto"/>
          </w:tcPr>
          <w:p w:rsidR="008319B5" w:rsidRDefault="00000000">
            <w:pPr>
              <w:pStyle w:val="Compact"/>
              <w:jc w:val="right"/>
            </w:pPr>
            <w:r>
              <w:t>0.031 – 0.073</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319B5" w:rsidRDefault="00000000">
            <w:pPr>
              <w:pStyle w:val="Compact"/>
              <w:jc w:val="center"/>
            </w:pPr>
            <w:r>
              <w:t>6.4 ×</w:t>
            </w:r>
          </w:p>
        </w:tc>
        <w:tc>
          <w:tcPr>
            <w:tcW w:w="0" w:type="auto"/>
          </w:tcPr>
          <w:p w:rsidR="008319B5" w:rsidRDefault="00000000">
            <w:pPr>
              <w:pStyle w:val="Compact"/>
              <w:jc w:val="right"/>
            </w:pPr>
            <w:r>
              <w:t>5.3 – 7.4</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p>
        </w:tc>
        <w:tc>
          <w:tcPr>
            <w:tcW w:w="0" w:type="auto"/>
          </w:tcPr>
          <w:p w:rsidR="008319B5" w:rsidRDefault="00000000">
            <w:pPr>
              <w:pStyle w:val="Compact"/>
              <w:jc w:val="center"/>
            </w:pPr>
            <w:r>
              <w:t>1.6 μM</w:t>
            </w:r>
          </w:p>
        </w:tc>
        <w:tc>
          <w:tcPr>
            <w:tcW w:w="0" w:type="auto"/>
          </w:tcPr>
          <w:p w:rsidR="008319B5" w:rsidRDefault="00000000">
            <w:pPr>
              <w:pStyle w:val="Compact"/>
              <w:jc w:val="right"/>
            </w:pPr>
            <w:r>
              <w:t>0.8 – 2.4</w:t>
            </w:r>
          </w:p>
        </w:tc>
      </w:tr>
    </w:tbl>
    <w:bookmarkEnd w:id="4"/>
    <w:p w:rsidR="008319B5" w:rsidRDefault="00000000">
      <w:pPr>
        <w:pStyle w:val="Caption"/>
      </w:pPr>
      <w:r>
        <w:rPr>
          <w:b/>
          <w:bCs/>
        </w:rPr>
        <w:t>Table 1. Single Signal Parameter Estimates.</w:t>
      </w:r>
      <w:r>
        <w:t xml:space="preserve"> Estimated fold-change, derived from raw parameters of equation 1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8319B5" w:rsidRDefault="00000000">
      <w:pPr>
        <w:pStyle w:val="Heading3"/>
      </w:pPr>
      <w:bookmarkStart w:id="5" w:name="las-and-rhl-combine-synergistically"/>
      <w:bookmarkEnd w:id="3"/>
      <w:r>
        <w:rPr>
          <w:i/>
          <w:iCs/>
        </w:rPr>
        <w:t>las</w:t>
      </w:r>
      <w:r>
        <w:t xml:space="preserve"> and </w:t>
      </w:r>
      <w:r>
        <w:rPr>
          <w:i/>
          <w:iCs/>
        </w:rPr>
        <w:t>rhl</w:t>
      </w:r>
      <w:r>
        <w:t xml:space="preserve"> Combine Synergistically</w:t>
      </w:r>
    </w:p>
    <w:p w:rsidR="008319B5"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8319B5" w:rsidRDefault="00000000">
      <w:pPr>
        <w:pStyle w:val="CaptionedFigure"/>
      </w:pPr>
      <w:r>
        <w:rPr>
          <w:noProof/>
        </w:rPr>
        <w:lastRenderedPageBreak/>
        <w:drawing>
          <wp:inline distT="0" distB="0" distL="0" distR="0">
            <wp:extent cx="5657850" cy="2571750"/>
            <wp:effectExtent l="0" t="0" r="0" b="0"/>
            <wp:docPr id="41" name="Picture" descr="combined"/>
            <wp:cNvGraphicFramePr/>
            <a:graphic xmlns:a="http://schemas.openxmlformats.org/drawingml/2006/main">
              <a:graphicData uri="http://schemas.openxmlformats.org/drawingml/2006/picture">
                <pic:pic xmlns:pic="http://schemas.openxmlformats.org/drawingml/2006/picture">
                  <pic:nvPicPr>
                    <pic:cNvPr id="42" name="Picture" descr="Figures/combined.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319B5"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w:t>
      </w:r>
    </w:p>
    <w:p w:rsidR="008319B5"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6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8319B5" w:rsidRDefault="00000000">
      <w:pPr>
        <w:pStyle w:val="CaptionedFigure"/>
      </w:pPr>
      <w:r>
        <w:rPr>
          <w:noProof/>
        </w:rPr>
        <w:drawing>
          <wp:inline distT="0" distB="0" distL="0" distR="0">
            <wp:extent cx="5715000" cy="2190750"/>
            <wp:effectExtent l="0" t="0" r="0" b="0"/>
            <wp:docPr id="45" name="Picture" descr="single_all"/>
            <wp:cNvGraphicFramePr/>
            <a:graphic xmlns:a="http://schemas.openxmlformats.org/drawingml/2006/main">
              <a:graphicData uri="http://schemas.openxmlformats.org/drawingml/2006/picture">
                <pic:pic xmlns:pic="http://schemas.openxmlformats.org/drawingml/2006/picture">
                  <pic:nvPicPr>
                    <pic:cNvPr id="46" name="Picture" descr="Figures/single_all.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715000" cy="2190750"/>
                    </a:xfrm>
                    <a:prstGeom prst="rect">
                      <a:avLst/>
                    </a:prstGeom>
                    <a:noFill/>
                    <a:ln w="9525">
                      <a:noFill/>
                      <a:headEnd/>
                      <a:tailEnd/>
                    </a:ln>
                  </pic:spPr>
                </pic:pic>
              </a:graphicData>
            </a:graphic>
          </wp:inline>
        </w:drawing>
      </w:r>
    </w:p>
    <w:p w:rsidR="008319B5"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across all combinations of signal concentrations. The plotted points represent observed </w:t>
      </w:r>
      <w:r>
        <w:lastRenderedPageBreak/>
        <w:t>expression levels when C</w:t>
      </w:r>
      <w:r>
        <w:rPr>
          <w:vertAlign w:val="subscript"/>
        </w:rPr>
        <w:t>4</w:t>
      </w:r>
      <w:r>
        <w:t>‑HSL is withheld (red) and when 3‑oxo‑C</w:t>
      </w:r>
      <w:r>
        <w:rPr>
          <w:vertAlign w:val="subscript"/>
        </w:rPr>
        <w:t>12</w:t>
      </w:r>
      <w:r>
        <w:t>‑HSL is withheld (yellow). Lines indicate the model predictions (Equation 1, parameters in Table 1).</w:t>
      </w:r>
    </w:p>
    <w:p w:rsidR="008319B5"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8319B5" w:rsidRDefault="00E70970" w:rsidP="00E70970">
      <w:pPr>
        <w:pStyle w:val="BodyText"/>
      </w:pPr>
      <w:r>
        <w:rPr>
          <w:noProof/>
        </w:rPr>
        <w:drawing>
          <wp:inline distT="0" distB="0" distL="0" distR="0">
            <wp:extent cx="5943699" cy="3183467"/>
            <wp:effectExtent l="0" t="0" r="0" b="0"/>
            <wp:docPr id="38117116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1160" name="Graphic 38117116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64290" cy="3194496"/>
                    </a:xfrm>
                    <a:prstGeom prst="rect">
                      <a:avLst/>
                    </a:prstGeom>
                  </pic:spPr>
                </pic:pic>
              </a:graphicData>
            </a:graphic>
          </wp:inline>
        </w:drawing>
      </w:r>
    </w:p>
    <w:p w:rsidR="008319B5"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2 have R</w:t>
      </w:r>
      <w:r>
        <w:rPr>
          <w:vertAlign w:val="superscript"/>
        </w:rPr>
        <w:t>2</w:t>
      </w:r>
      <w:r>
        <w:t xml:space="preserve"> values of 0.82 and 0.77.</w:t>
      </w:r>
    </w:p>
    <w:tbl>
      <w:tblPr>
        <w:tblStyle w:val="Table"/>
        <w:tblW w:w="0" w:type="auto"/>
        <w:tblLook w:val="0020" w:firstRow="1" w:lastRow="0" w:firstColumn="0" w:lastColumn="0" w:noHBand="0" w:noVBand="0"/>
        <w:tblCaption w:val="Table 2: multisignal"/>
      </w:tblPr>
      <w:tblGrid>
        <w:gridCol w:w="723"/>
        <w:gridCol w:w="1710"/>
        <w:gridCol w:w="2566"/>
        <w:gridCol w:w="1730"/>
        <w:gridCol w:w="1511"/>
        <w:gridCol w:w="1336"/>
      </w:tblGrid>
      <w:tr w:rsidR="008319B5" w:rsidTr="00E70970">
        <w:trPr>
          <w:cnfStyle w:val="100000000000" w:firstRow="1" w:lastRow="0" w:firstColumn="0" w:lastColumn="0" w:oddVBand="0" w:evenVBand="0" w:oddHBand="0" w:evenHBand="0" w:firstRowFirstColumn="0" w:firstRowLastColumn="0" w:lastRowFirstColumn="0" w:lastRowLastColumn="0"/>
          <w:tblHeader/>
        </w:trPr>
        <w:tc>
          <w:tcPr>
            <w:tcW w:w="0" w:type="auto"/>
          </w:tcPr>
          <w:p w:rsidR="008319B5" w:rsidRDefault="00000000">
            <w:pPr>
              <w:pStyle w:val="Compact"/>
            </w:pPr>
            <w:bookmarkStart w:id="6" w:name="tbl:multisignal"/>
            <w:r>
              <w:t>Gene</w:t>
            </w:r>
          </w:p>
        </w:tc>
        <w:tc>
          <w:tcPr>
            <w:tcW w:w="0" w:type="auto"/>
          </w:tcPr>
          <w:p w:rsidR="008319B5" w:rsidRDefault="00000000">
            <w:pPr>
              <w:pStyle w:val="Compact"/>
            </w:pPr>
            <w:r>
              <w:t>Signal</w:t>
            </w:r>
          </w:p>
        </w:tc>
        <w:tc>
          <w:tcPr>
            <w:tcW w:w="0" w:type="auto"/>
          </w:tcPr>
          <w:p w:rsidR="008319B5" w:rsidRDefault="00000000">
            <w:pPr>
              <w:pStyle w:val="Compact"/>
            </w:pPr>
            <w:r>
              <w:t>Parameter</w:t>
            </w:r>
          </w:p>
        </w:tc>
        <w:tc>
          <w:tcPr>
            <w:tcW w:w="0" w:type="auto"/>
          </w:tcPr>
          <w:p w:rsidR="008319B5" w:rsidRDefault="00000000">
            <w:pPr>
              <w:pStyle w:val="Compact"/>
              <w:jc w:val="center"/>
            </w:pPr>
            <w:r>
              <w:t>Derivation</w:t>
            </w:r>
          </w:p>
        </w:tc>
        <w:tc>
          <w:tcPr>
            <w:tcW w:w="0" w:type="auto"/>
          </w:tcPr>
          <w:p w:rsidR="008319B5" w:rsidRDefault="00000000">
            <w:pPr>
              <w:pStyle w:val="Compact"/>
              <w:jc w:val="center"/>
            </w:pPr>
            <w:r>
              <w:t>Estimate</w:t>
            </w:r>
          </w:p>
        </w:tc>
        <w:tc>
          <w:tcPr>
            <w:tcW w:w="0" w:type="auto"/>
          </w:tcPr>
          <w:p w:rsidR="008319B5" w:rsidRDefault="00000000">
            <w:pPr>
              <w:pStyle w:val="Compact"/>
              <w:jc w:val="right"/>
            </w:pPr>
            <w:r>
              <w:t>95% C.I.</w:t>
            </w:r>
          </w:p>
        </w:tc>
      </w:tr>
      <w:tr w:rsidR="008319B5" w:rsidTr="00E70970">
        <w:tc>
          <w:tcPr>
            <w:tcW w:w="0" w:type="auto"/>
          </w:tcPr>
          <w:p w:rsidR="008319B5" w:rsidRDefault="00000000">
            <w:pPr>
              <w:pStyle w:val="Compact"/>
            </w:pPr>
            <w:r>
              <w:rPr>
                <w:i/>
                <w:iCs/>
              </w:rPr>
              <w:t>lasI</w:t>
            </w:r>
          </w:p>
        </w:tc>
        <w:tc>
          <w:tcPr>
            <w:tcW w:w="0" w:type="auto"/>
          </w:tcPr>
          <w:p w:rsidR="008319B5" w:rsidRDefault="008319B5">
            <w:pPr>
              <w:pStyle w:val="Compact"/>
            </w:pPr>
          </w:p>
        </w:tc>
        <w:tc>
          <w:tcPr>
            <w:tcW w:w="0" w:type="auto"/>
          </w:tcPr>
          <w:p w:rsidR="008319B5" w:rsidRDefault="00000000">
            <w:pPr>
              <w:pStyle w:val="Compact"/>
            </w:pPr>
            <w:r>
              <w:t>Basal expression</w:t>
            </w:r>
          </w:p>
        </w:tc>
        <w:tc>
          <w:tcPr>
            <w:tcW w:w="0" w:type="auto"/>
          </w:tcPr>
          <w:p w:rsidR="008319B5" w:rsidRDefault="00000000">
            <w:pPr>
              <w:pStyle w:val="Compact"/>
              <w:jc w:val="center"/>
            </w:pPr>
            <w:r>
              <w:rPr>
                <w:i/>
                <w:iCs/>
              </w:rPr>
              <w:t>ɑ</w:t>
            </w:r>
            <w:r>
              <w:rPr>
                <w:vertAlign w:val="subscript"/>
              </w:rPr>
              <w:t>1,0</w:t>
            </w:r>
          </w:p>
        </w:tc>
        <w:tc>
          <w:tcPr>
            <w:tcW w:w="0" w:type="auto"/>
          </w:tcPr>
          <w:p w:rsidR="008319B5" w:rsidRDefault="00000000">
            <w:pPr>
              <w:pStyle w:val="Compact"/>
              <w:jc w:val="center"/>
            </w:pPr>
            <w:r>
              <w:t>1670 RLU/OD</w:t>
            </w:r>
          </w:p>
        </w:tc>
        <w:tc>
          <w:tcPr>
            <w:tcW w:w="0" w:type="auto"/>
          </w:tcPr>
          <w:p w:rsidR="008319B5" w:rsidRDefault="00000000">
            <w:pPr>
              <w:pStyle w:val="Compact"/>
              <w:jc w:val="right"/>
            </w:pPr>
            <w:r>
              <w:t>1619 – 1721</w:t>
            </w:r>
          </w:p>
        </w:tc>
      </w:tr>
      <w:tr w:rsidR="008319B5" w:rsidTr="00E70970">
        <w:tc>
          <w:tcPr>
            <w:tcW w:w="0" w:type="auto"/>
          </w:tcPr>
          <w:p w:rsidR="008319B5" w:rsidRDefault="008319B5">
            <w:pPr>
              <w:pStyle w:val="Compact"/>
            </w:pP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38 ×</w:t>
            </w:r>
          </w:p>
        </w:tc>
        <w:tc>
          <w:tcPr>
            <w:tcW w:w="0" w:type="auto"/>
          </w:tcPr>
          <w:p w:rsidR="008319B5" w:rsidRDefault="00000000">
            <w:pPr>
              <w:pStyle w:val="Compact"/>
              <w:jc w:val="right"/>
            </w:pPr>
            <w:r>
              <w:t>36 – 40</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1,1</w:t>
            </w:r>
          </w:p>
        </w:tc>
        <w:tc>
          <w:tcPr>
            <w:tcW w:w="0" w:type="auto"/>
          </w:tcPr>
          <w:p w:rsidR="008319B5" w:rsidRDefault="00000000">
            <w:pPr>
              <w:pStyle w:val="Compact"/>
              <w:jc w:val="center"/>
            </w:pPr>
            <w:r>
              <w:t>0.24 μM</w:t>
            </w:r>
          </w:p>
        </w:tc>
        <w:tc>
          <w:tcPr>
            <w:tcW w:w="0" w:type="auto"/>
          </w:tcPr>
          <w:p w:rsidR="008319B5" w:rsidRDefault="00000000">
            <w:pPr>
              <w:pStyle w:val="Compact"/>
              <w:jc w:val="right"/>
            </w:pPr>
            <w:r>
              <w:t>0.17 – 0.30</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6.4 ×</w:t>
            </w:r>
          </w:p>
        </w:tc>
        <w:tc>
          <w:tcPr>
            <w:tcW w:w="0" w:type="auto"/>
          </w:tcPr>
          <w:p w:rsidR="008319B5" w:rsidRDefault="00000000">
            <w:pPr>
              <w:pStyle w:val="Compact"/>
              <w:jc w:val="right"/>
            </w:pPr>
            <w:r>
              <w:t>5.8 – 7.0</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1,2</w:t>
            </w:r>
          </w:p>
        </w:tc>
        <w:tc>
          <w:tcPr>
            <w:tcW w:w="0" w:type="auto"/>
          </w:tcPr>
          <w:p w:rsidR="008319B5" w:rsidRDefault="00000000">
            <w:pPr>
              <w:pStyle w:val="Compact"/>
              <w:jc w:val="center"/>
            </w:pPr>
            <w:r>
              <w:t>1.0 μM</w:t>
            </w:r>
          </w:p>
        </w:tc>
        <w:tc>
          <w:tcPr>
            <w:tcW w:w="0" w:type="auto"/>
          </w:tcPr>
          <w:p w:rsidR="008319B5" w:rsidRDefault="00000000">
            <w:pPr>
              <w:pStyle w:val="Compact"/>
              <w:jc w:val="right"/>
            </w:pPr>
            <w:r>
              <w:t>0.7 – 1.4</w:t>
            </w:r>
          </w:p>
        </w:tc>
      </w:tr>
      <w:tr w:rsidR="008319B5" w:rsidTr="00E70970">
        <w:tc>
          <w:tcPr>
            <w:tcW w:w="0" w:type="auto"/>
          </w:tcPr>
          <w:p w:rsidR="008319B5" w:rsidRDefault="008319B5">
            <w:pPr>
              <w:pStyle w:val="Compact"/>
            </w:pPr>
          </w:p>
        </w:tc>
        <w:tc>
          <w:tcPr>
            <w:tcW w:w="0" w:type="auto"/>
          </w:tcPr>
          <w:p w:rsidR="008319B5" w:rsidRDefault="00000000">
            <w:pPr>
              <w:pStyle w:val="Compact"/>
            </w:pPr>
            <w:r>
              <w:t>Combined</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30 ×</w:t>
            </w:r>
          </w:p>
        </w:tc>
        <w:tc>
          <w:tcPr>
            <w:tcW w:w="0" w:type="auto"/>
          </w:tcPr>
          <w:p w:rsidR="008319B5" w:rsidRDefault="00000000">
            <w:pPr>
              <w:pStyle w:val="Compact"/>
              <w:jc w:val="right"/>
            </w:pPr>
            <w:r>
              <w:t>29 – 31</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 for 3‑oxo‑C</w:t>
            </w:r>
            <w:r>
              <w:rPr>
                <w:vertAlign w:val="subscript"/>
              </w:rPr>
              <w:t>12</w:t>
            </w:r>
            <w:r>
              <w:t>‑HSL</w:t>
            </w:r>
          </w:p>
        </w:tc>
        <w:tc>
          <w:tcPr>
            <w:tcW w:w="0" w:type="auto"/>
          </w:tcPr>
          <w:p w:rsidR="008319B5" w:rsidRDefault="00000000">
            <w:pPr>
              <w:pStyle w:val="Compact"/>
              <w:jc w:val="center"/>
            </w:pPr>
            <w:r>
              <w:rPr>
                <w:i/>
                <w:iCs/>
              </w:rPr>
              <w:t>K</w:t>
            </w:r>
            <w:r>
              <w:rPr>
                <w:i/>
                <w:iCs/>
                <w:vertAlign w:val="subscript"/>
              </w:rPr>
              <w:t>Q</w:t>
            </w:r>
            <w:r>
              <w:rPr>
                <w:vertAlign w:val="subscript"/>
              </w:rPr>
              <w:t>1,1,2</w:t>
            </w:r>
          </w:p>
        </w:tc>
        <w:tc>
          <w:tcPr>
            <w:tcW w:w="0" w:type="auto"/>
          </w:tcPr>
          <w:p w:rsidR="008319B5" w:rsidRDefault="00000000">
            <w:pPr>
              <w:pStyle w:val="Compact"/>
              <w:jc w:val="center"/>
            </w:pPr>
            <w:r>
              <w:t>&lt; 0.001 μM</w:t>
            </w:r>
          </w:p>
        </w:tc>
        <w:tc>
          <w:tcPr>
            <w:tcW w:w="0" w:type="auto"/>
          </w:tcPr>
          <w:p w:rsidR="008319B5" w:rsidRDefault="008319B5">
            <w:pPr>
              <w:pStyle w:val="Compact"/>
            </w:pP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 for C</w:t>
            </w:r>
            <w:r>
              <w:rPr>
                <w:vertAlign w:val="subscript"/>
              </w:rPr>
              <w:t>4</w:t>
            </w:r>
            <w:r>
              <w:t>-HSL</w:t>
            </w:r>
          </w:p>
        </w:tc>
        <w:tc>
          <w:tcPr>
            <w:tcW w:w="0" w:type="auto"/>
          </w:tcPr>
          <w:p w:rsidR="008319B5" w:rsidRDefault="00000000">
            <w:pPr>
              <w:pStyle w:val="Compact"/>
              <w:jc w:val="center"/>
            </w:pPr>
            <w:r>
              <w:rPr>
                <w:i/>
                <w:iCs/>
              </w:rPr>
              <w:t>K</w:t>
            </w:r>
            <w:r>
              <w:rPr>
                <w:i/>
                <w:iCs/>
                <w:vertAlign w:val="subscript"/>
              </w:rPr>
              <w:t>Q</w:t>
            </w:r>
            <w:r>
              <w:rPr>
                <w:vertAlign w:val="subscript"/>
              </w:rPr>
              <w:t>1,2,1</w:t>
            </w:r>
          </w:p>
        </w:tc>
        <w:tc>
          <w:tcPr>
            <w:tcW w:w="0" w:type="auto"/>
          </w:tcPr>
          <w:p w:rsidR="008319B5" w:rsidRDefault="00000000">
            <w:pPr>
              <w:pStyle w:val="Compact"/>
              <w:jc w:val="center"/>
            </w:pPr>
            <w:r>
              <w:t>0.003 μM</w:t>
            </w:r>
          </w:p>
        </w:tc>
        <w:tc>
          <w:tcPr>
            <w:tcW w:w="0" w:type="auto"/>
          </w:tcPr>
          <w:p w:rsidR="008319B5" w:rsidRDefault="00000000">
            <w:pPr>
              <w:pStyle w:val="Compact"/>
              <w:jc w:val="right"/>
            </w:pPr>
            <w:r>
              <w:t>0 – 0.011</w:t>
            </w:r>
          </w:p>
        </w:tc>
      </w:tr>
      <w:tr w:rsidR="008319B5" w:rsidTr="00E70970">
        <w:tc>
          <w:tcPr>
            <w:tcW w:w="0" w:type="auto"/>
          </w:tcPr>
          <w:p w:rsidR="008319B5" w:rsidRDefault="00000000">
            <w:pPr>
              <w:pStyle w:val="Compact"/>
            </w:pPr>
            <w:r>
              <w:rPr>
                <w:i/>
                <w:iCs/>
              </w:rPr>
              <w:t>rhlI</w:t>
            </w:r>
          </w:p>
        </w:tc>
        <w:tc>
          <w:tcPr>
            <w:tcW w:w="0" w:type="auto"/>
          </w:tcPr>
          <w:p w:rsidR="008319B5" w:rsidRDefault="008319B5">
            <w:pPr>
              <w:pStyle w:val="Compact"/>
            </w:pPr>
          </w:p>
        </w:tc>
        <w:tc>
          <w:tcPr>
            <w:tcW w:w="0" w:type="auto"/>
          </w:tcPr>
          <w:p w:rsidR="008319B5" w:rsidRDefault="00000000">
            <w:pPr>
              <w:pStyle w:val="Compact"/>
            </w:pPr>
            <w:r>
              <w:t>Basal expression</w:t>
            </w:r>
          </w:p>
        </w:tc>
        <w:tc>
          <w:tcPr>
            <w:tcW w:w="0" w:type="auto"/>
          </w:tcPr>
          <w:p w:rsidR="008319B5" w:rsidRDefault="00000000">
            <w:pPr>
              <w:pStyle w:val="Compact"/>
              <w:jc w:val="center"/>
            </w:pPr>
            <w:r>
              <w:rPr>
                <w:i/>
                <w:iCs/>
              </w:rPr>
              <w:t>ɑ</w:t>
            </w:r>
            <w:r>
              <w:rPr>
                <w:vertAlign w:val="subscript"/>
              </w:rPr>
              <w:t>2,0</w:t>
            </w:r>
          </w:p>
        </w:tc>
        <w:tc>
          <w:tcPr>
            <w:tcW w:w="0" w:type="auto"/>
          </w:tcPr>
          <w:p w:rsidR="008319B5" w:rsidRDefault="00000000">
            <w:pPr>
              <w:pStyle w:val="Compact"/>
              <w:jc w:val="center"/>
            </w:pPr>
            <w:r>
              <w:t>1861 RLU/OD</w:t>
            </w:r>
          </w:p>
        </w:tc>
        <w:tc>
          <w:tcPr>
            <w:tcW w:w="0" w:type="auto"/>
          </w:tcPr>
          <w:p w:rsidR="008319B5" w:rsidRDefault="00000000">
            <w:pPr>
              <w:pStyle w:val="Compact"/>
              <w:jc w:val="right"/>
            </w:pPr>
            <w:r>
              <w:t>1798 – 1923</w:t>
            </w:r>
          </w:p>
        </w:tc>
      </w:tr>
      <w:tr w:rsidR="008319B5" w:rsidTr="00E70970">
        <w:tc>
          <w:tcPr>
            <w:tcW w:w="0" w:type="auto"/>
          </w:tcPr>
          <w:p w:rsidR="008319B5" w:rsidRDefault="008319B5">
            <w:pPr>
              <w:pStyle w:val="Compact"/>
            </w:pP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319B5" w:rsidRDefault="00000000">
            <w:pPr>
              <w:pStyle w:val="Compact"/>
              <w:jc w:val="center"/>
            </w:pPr>
            <w:r>
              <w:t>35 ×</w:t>
            </w:r>
          </w:p>
        </w:tc>
        <w:tc>
          <w:tcPr>
            <w:tcW w:w="0" w:type="auto"/>
          </w:tcPr>
          <w:p w:rsidR="008319B5" w:rsidRDefault="00000000">
            <w:pPr>
              <w:pStyle w:val="Compact"/>
              <w:jc w:val="right"/>
            </w:pPr>
            <w:r>
              <w:t>34 – 36</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2,1</w:t>
            </w:r>
          </w:p>
        </w:tc>
        <w:tc>
          <w:tcPr>
            <w:tcW w:w="0" w:type="auto"/>
          </w:tcPr>
          <w:p w:rsidR="008319B5" w:rsidRDefault="00000000">
            <w:pPr>
              <w:pStyle w:val="Compact"/>
              <w:jc w:val="center"/>
            </w:pPr>
            <w:r>
              <w:t>0.052 μM</w:t>
            </w:r>
          </w:p>
        </w:tc>
        <w:tc>
          <w:tcPr>
            <w:tcW w:w="0" w:type="auto"/>
          </w:tcPr>
          <w:p w:rsidR="008319B5" w:rsidRDefault="00000000">
            <w:pPr>
              <w:pStyle w:val="Compact"/>
              <w:jc w:val="right"/>
            </w:pPr>
            <w:r>
              <w:t>0.031 – 0.073</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319B5" w:rsidRDefault="00000000">
            <w:pPr>
              <w:pStyle w:val="Compact"/>
              <w:jc w:val="center"/>
            </w:pPr>
            <w:r>
              <w:t>6.4 ×</w:t>
            </w:r>
          </w:p>
        </w:tc>
        <w:tc>
          <w:tcPr>
            <w:tcW w:w="0" w:type="auto"/>
          </w:tcPr>
          <w:p w:rsidR="008319B5" w:rsidRDefault="00000000">
            <w:pPr>
              <w:pStyle w:val="Compact"/>
              <w:jc w:val="right"/>
            </w:pPr>
            <w:r>
              <w:t>5.3 – 7.4</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2,2</w:t>
            </w:r>
          </w:p>
        </w:tc>
        <w:tc>
          <w:tcPr>
            <w:tcW w:w="0" w:type="auto"/>
          </w:tcPr>
          <w:p w:rsidR="008319B5" w:rsidRDefault="00000000">
            <w:pPr>
              <w:pStyle w:val="Compact"/>
              <w:jc w:val="center"/>
            </w:pPr>
            <w:r>
              <w:t>1.6 μM</w:t>
            </w:r>
          </w:p>
        </w:tc>
        <w:tc>
          <w:tcPr>
            <w:tcW w:w="0" w:type="auto"/>
          </w:tcPr>
          <w:p w:rsidR="008319B5" w:rsidRDefault="00000000">
            <w:pPr>
              <w:pStyle w:val="Compact"/>
              <w:jc w:val="right"/>
            </w:pPr>
            <w:r>
              <w:t>0.8 – 2.4</w:t>
            </w:r>
          </w:p>
        </w:tc>
      </w:tr>
      <w:tr w:rsidR="008319B5" w:rsidTr="00E70970">
        <w:tc>
          <w:tcPr>
            <w:tcW w:w="0" w:type="auto"/>
          </w:tcPr>
          <w:p w:rsidR="008319B5" w:rsidRDefault="008319B5">
            <w:pPr>
              <w:pStyle w:val="Compact"/>
            </w:pPr>
          </w:p>
        </w:tc>
        <w:tc>
          <w:tcPr>
            <w:tcW w:w="0" w:type="auto"/>
          </w:tcPr>
          <w:p w:rsidR="008319B5" w:rsidRDefault="00000000">
            <w:pPr>
              <w:pStyle w:val="Compact"/>
            </w:pPr>
            <w:r>
              <w:t>Combined</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27 ×</w:t>
            </w:r>
          </w:p>
        </w:tc>
        <w:tc>
          <w:tcPr>
            <w:tcW w:w="0" w:type="auto"/>
          </w:tcPr>
          <w:p w:rsidR="008319B5" w:rsidRDefault="00000000">
            <w:pPr>
              <w:pStyle w:val="Compact"/>
              <w:jc w:val="right"/>
            </w:pPr>
            <w:r>
              <w:t>26 – 28</w:t>
            </w: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 for 3‑oxo‑C</w:t>
            </w:r>
            <w:r>
              <w:rPr>
                <w:vertAlign w:val="subscript"/>
              </w:rPr>
              <w:t>12</w:t>
            </w:r>
            <w:r>
              <w:t>‑HSL</w:t>
            </w:r>
          </w:p>
        </w:tc>
        <w:tc>
          <w:tcPr>
            <w:tcW w:w="0" w:type="auto"/>
          </w:tcPr>
          <w:p w:rsidR="008319B5" w:rsidRDefault="00000000">
            <w:pPr>
              <w:pStyle w:val="Compact"/>
              <w:jc w:val="center"/>
            </w:pPr>
            <w:r>
              <w:rPr>
                <w:i/>
                <w:iCs/>
              </w:rPr>
              <w:t>K</w:t>
            </w:r>
            <w:r>
              <w:rPr>
                <w:i/>
                <w:iCs/>
                <w:vertAlign w:val="subscript"/>
              </w:rPr>
              <w:t>Q</w:t>
            </w:r>
            <w:r>
              <w:rPr>
                <w:vertAlign w:val="subscript"/>
              </w:rPr>
              <w:t>2,1,2</w:t>
            </w:r>
          </w:p>
        </w:tc>
        <w:tc>
          <w:tcPr>
            <w:tcW w:w="0" w:type="auto"/>
          </w:tcPr>
          <w:p w:rsidR="008319B5" w:rsidRDefault="00000000">
            <w:pPr>
              <w:pStyle w:val="Compact"/>
              <w:jc w:val="center"/>
            </w:pPr>
            <w:r>
              <w:t>&lt; 0.001 μM</w:t>
            </w:r>
          </w:p>
        </w:tc>
        <w:tc>
          <w:tcPr>
            <w:tcW w:w="0" w:type="auto"/>
          </w:tcPr>
          <w:p w:rsidR="008319B5" w:rsidRDefault="008319B5">
            <w:pPr>
              <w:pStyle w:val="Compact"/>
            </w:pPr>
          </w:p>
        </w:tc>
      </w:tr>
      <w:tr w:rsidR="008319B5" w:rsidTr="00E70970">
        <w:tc>
          <w:tcPr>
            <w:tcW w:w="0" w:type="auto"/>
          </w:tcPr>
          <w:p w:rsidR="008319B5" w:rsidRDefault="008319B5">
            <w:pPr>
              <w:pStyle w:val="Compact"/>
            </w:pPr>
          </w:p>
        </w:tc>
        <w:tc>
          <w:tcPr>
            <w:tcW w:w="0" w:type="auto"/>
          </w:tcPr>
          <w:p w:rsidR="008319B5" w:rsidRDefault="008319B5">
            <w:pPr>
              <w:pStyle w:val="Compact"/>
            </w:pPr>
          </w:p>
        </w:tc>
        <w:tc>
          <w:tcPr>
            <w:tcW w:w="0" w:type="auto"/>
          </w:tcPr>
          <w:p w:rsidR="008319B5" w:rsidRDefault="00000000">
            <w:pPr>
              <w:pStyle w:val="Compact"/>
            </w:pPr>
            <w:r>
              <w:t>½ conc. for C</w:t>
            </w:r>
            <w:r>
              <w:rPr>
                <w:vertAlign w:val="subscript"/>
              </w:rPr>
              <w:t>4</w:t>
            </w:r>
            <w:r>
              <w:t>-HSL</w:t>
            </w:r>
          </w:p>
        </w:tc>
        <w:tc>
          <w:tcPr>
            <w:tcW w:w="0" w:type="auto"/>
          </w:tcPr>
          <w:p w:rsidR="008319B5" w:rsidRDefault="00000000">
            <w:pPr>
              <w:pStyle w:val="Compact"/>
              <w:jc w:val="center"/>
            </w:pPr>
            <w:r>
              <w:rPr>
                <w:i/>
                <w:iCs/>
              </w:rPr>
              <w:t>K</w:t>
            </w:r>
            <w:r>
              <w:rPr>
                <w:i/>
                <w:iCs/>
                <w:vertAlign w:val="subscript"/>
              </w:rPr>
              <w:t>Q</w:t>
            </w:r>
            <w:r>
              <w:rPr>
                <w:vertAlign w:val="subscript"/>
              </w:rPr>
              <w:t>2,2,1</w:t>
            </w:r>
          </w:p>
        </w:tc>
        <w:tc>
          <w:tcPr>
            <w:tcW w:w="0" w:type="auto"/>
          </w:tcPr>
          <w:p w:rsidR="008319B5" w:rsidRDefault="00000000">
            <w:pPr>
              <w:pStyle w:val="Compact"/>
              <w:jc w:val="center"/>
            </w:pPr>
            <w:r>
              <w:t>&lt; 0.001 μM</w:t>
            </w:r>
          </w:p>
        </w:tc>
        <w:tc>
          <w:tcPr>
            <w:tcW w:w="0" w:type="auto"/>
          </w:tcPr>
          <w:p w:rsidR="008319B5" w:rsidRDefault="008319B5">
            <w:pPr>
              <w:pStyle w:val="Compact"/>
            </w:pPr>
          </w:p>
        </w:tc>
      </w:tr>
    </w:tbl>
    <w:bookmarkEnd w:id="6"/>
    <w:p w:rsidR="008319B5" w:rsidRDefault="00000000">
      <w:pPr>
        <w:pStyle w:val="Caption"/>
      </w:pPr>
      <w:r>
        <w:rPr>
          <w:b/>
          <w:bCs/>
        </w:rPr>
        <w:t>Table 2. Multi-signal parameter estimates.</w:t>
      </w:r>
      <w:r>
        <w:t xml:space="preserve"> Model parameters for gene expression as a function of multiple signal concentrations. Parameters are the same as in Table 1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8319B5" w:rsidRDefault="00000000">
      <w:pPr>
        <w:pStyle w:val="BodyText"/>
      </w:pPr>
      <w:r>
        <w:t>Figure 7 compares the model estimates with observations. For both genes, the model captures the effect of either signal in isolation and both signals in combination.</w:t>
      </w:r>
    </w:p>
    <w:p w:rsidR="008319B5" w:rsidRDefault="00000000">
      <w:pPr>
        <w:pStyle w:val="CaptionedFigure"/>
      </w:pPr>
      <w:r>
        <w:rPr>
          <w:noProof/>
        </w:rPr>
        <w:drawing>
          <wp:inline distT="0" distB="0" distL="0" distR="0">
            <wp:extent cx="5334000" cy="2190750"/>
            <wp:effectExtent l="0" t="0" r="0" b="0"/>
            <wp:docPr id="51" name="Picture" descr="multiple"/>
            <wp:cNvGraphicFramePr/>
            <a:graphic xmlns:a="http://schemas.openxmlformats.org/drawingml/2006/main">
              <a:graphicData uri="http://schemas.openxmlformats.org/drawingml/2006/picture">
                <pic:pic xmlns:pic="http://schemas.openxmlformats.org/drawingml/2006/picture">
                  <pic:nvPicPr>
                    <pic:cNvPr id="52" name="Picture" descr="Figures/multipl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190750"/>
                    </a:xfrm>
                    <a:prstGeom prst="rect">
                      <a:avLst/>
                    </a:prstGeom>
                    <a:noFill/>
                    <a:ln w="9525">
                      <a:noFill/>
                      <a:headEnd/>
                      <a:tailEnd/>
                    </a:ln>
                  </pic:spPr>
                </pic:pic>
              </a:graphicData>
            </a:graphic>
          </wp:inline>
        </w:drawing>
      </w:r>
    </w:p>
    <w:p w:rsidR="008319B5"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w:t>
      </w:r>
      <w:r>
        <w:lastRenderedPageBreak/>
        <w:t>extend from these mean values to the relevant grid point for clarity. The coefficient of determination (R</w:t>
      </w:r>
      <w:r>
        <w:rPr>
          <w:vertAlign w:val="superscript"/>
        </w:rPr>
        <w:t>2</w:t>
      </w:r>
      <w:r>
        <w:t>) for the models is 0.82 and 0.77, respectively.</w:t>
      </w:r>
    </w:p>
    <w:p w:rsidR="008319B5" w:rsidRDefault="00000000">
      <w:pPr>
        <w:pStyle w:val="BodyText"/>
      </w:pPr>
      <w:r>
        <w:t xml:space="preserve">The parameter estimates in Table 2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8319B5" w:rsidRDefault="00000000">
      <w:pPr>
        <w:pStyle w:val="CaptionedFigure"/>
      </w:pPr>
      <w:r>
        <w:rPr>
          <w:noProof/>
        </w:rPr>
        <w:drawing>
          <wp:inline distT="0" distB="0" distL="0" distR="0">
            <wp:extent cx="4486275" cy="2676525"/>
            <wp:effectExtent l="0" t="0" r="0" b="0"/>
            <wp:docPr id="55" name="Picture" descr="reciprocal"/>
            <wp:cNvGraphicFramePr/>
            <a:graphic xmlns:a="http://schemas.openxmlformats.org/drawingml/2006/main">
              <a:graphicData uri="http://schemas.openxmlformats.org/drawingml/2006/picture">
                <pic:pic xmlns:pic="http://schemas.openxmlformats.org/drawingml/2006/picture">
                  <pic:nvPicPr>
                    <pic:cNvPr id="56" name="Picture" descr="Figures/reciprocal.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4486275" cy="2676525"/>
                    </a:xfrm>
                    <a:prstGeom prst="rect">
                      <a:avLst/>
                    </a:prstGeom>
                    <a:noFill/>
                    <a:ln w="9525">
                      <a:noFill/>
                      <a:headEnd/>
                      <a:tailEnd/>
                    </a:ln>
                  </pic:spPr>
                </pic:pic>
              </a:graphicData>
            </a:graphic>
          </wp:inline>
        </w:drawing>
      </w:r>
    </w:p>
    <w:p w:rsidR="008319B5"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8319B5" w:rsidRDefault="00000000">
      <w:pPr>
        <w:pStyle w:val="Heading3"/>
      </w:pPr>
      <w:bookmarkStart w:id="7" w:name="Xb60570433256b04111b25135318452a5cea29ac"/>
      <w:bookmarkEnd w:id="5"/>
      <w:r>
        <w:t>The Resulting Quorum Sensing Architecture Shapes the Response to Environmental Variation</w:t>
      </w:r>
    </w:p>
    <w:p w:rsidR="008319B5" w:rsidRDefault="00000000">
      <w:pPr>
        <w:pStyle w:val="FirstParagraph"/>
      </w:pPr>
      <w:r>
        <w:t>Having established that both signals influence the expression levels of both synthase genes, we next consider how that relationship affects the overall quorum sensing response to environmental variation. Does a reciprocal architecture result in behavior that significantly differs from a hierarchical or independent architecture?</w:t>
      </w:r>
    </w:p>
    <w:p w:rsidR="008319B5" w:rsidRPr="00E70970" w:rsidRDefault="00000000">
      <w:pPr>
        <w:pStyle w:val="BodyText"/>
      </w:pPr>
      <w:r>
        <w:t xml:space="preserve">We begin by focusing on the canonical QS environmental variables: bacterial population density and mass transfer (e.g. diffusion or advective flow). We first characterize the QS response as the extracellular signal concentration. Building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w:t>
      </w:r>
      <w:r>
        <w:lastRenderedPageBreak/>
        <w:t xml:space="preserve">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8319B5" w:rsidRDefault="00E70970">
      <w:pPr>
        <w:pStyle w:val="FirstParagraph"/>
      </w:pPr>
      <w:r>
        <w:rPr>
          <w:noProof/>
        </w:rPr>
        <w:drawing>
          <wp:inline distT="0" distB="0" distL="0" distR="0">
            <wp:extent cx="5946218" cy="3056467"/>
            <wp:effectExtent l="0" t="0" r="0" b="0"/>
            <wp:docPr id="63702665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26651" name="Graphic 63702665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84295" cy="3076039"/>
                    </a:xfrm>
                    <a:prstGeom prst="rect">
                      <a:avLst/>
                    </a:prstGeom>
                  </pic:spPr>
                </pic:pic>
              </a:graphicData>
            </a:graphic>
          </wp:inline>
        </w:drawing>
      </w:r>
    </w:p>
    <w:p w:rsidR="008319B5" w:rsidRDefault="00000000">
      <w:pPr>
        <w:pStyle w:val="BodyText"/>
      </w:pPr>
      <w:r>
        <w:t xml:space="preserve">This equation models the dynamics of signal concentration in response to environmental conditions. In particular, its equilibrium values define the final signal concentrations that result from given values of population density and mass transfer rate. To solve for those equilibrium values, we estimate expression levels </w:t>
      </w:r>
      <w:r>
        <w:rPr>
          <w:i/>
          <w:iCs/>
        </w:rPr>
        <w:t>E</w:t>
      </w:r>
      <w:r>
        <w:rPr>
          <w:i/>
          <w:iCs/>
          <w:vertAlign w:val="subscript"/>
        </w:rPr>
        <w:t>i</w:t>
      </w:r>
      <w:r>
        <w:t xml:space="preserve"> (</w:t>
      </w:r>
      <w:r>
        <w:rPr>
          <w:b/>
          <w:bCs/>
        </w:rPr>
        <w:t>S</w:t>
      </w:r>
      <w:r>
        <w:t xml:space="preserve">) from our experimental data (Equation 2, Table 2). The remaining parameters, </w:t>
      </w:r>
      <w:r>
        <w:rPr>
          <w:i/>
          <w:iCs/>
        </w:rPr>
        <w:t>c</w:t>
      </w:r>
      <w:r>
        <w:rPr>
          <w:i/>
          <w:iCs/>
          <w:vertAlign w:val="subscript"/>
        </w:rPr>
        <w:t>i</w:t>
      </w:r>
      <w:r>
        <w:t xml:space="preserve"> and </w:t>
      </w:r>
      <w:r>
        <w:rPr>
          <w:i/>
          <w:iCs/>
        </w:rPr>
        <w:t>𝜹</w:t>
      </w:r>
      <w:r>
        <w:rPr>
          <w:i/>
          <w:iCs/>
          <w:vertAlign w:val="subscript"/>
        </w:rPr>
        <w:t>i</w:t>
      </w:r>
      <w:r>
        <w:t>, we estimate from published literature as detailed in the supporting information.</w:t>
      </w:r>
    </w:p>
    <w:p w:rsidR="008319B5" w:rsidRDefault="00000000">
      <w:pPr>
        <w:pStyle w:val="BodyText"/>
      </w:pPr>
      <w:r>
        <w:t xml:space="preserve">As our interest is ultimately in bacterial behavior in response to quorum sensing, we next consider the expression level of a representative effector gene under quorum sensing control. The </w:t>
      </w:r>
      <w:r>
        <w:rPr>
          <w:i/>
          <w:iCs/>
        </w:rPr>
        <w:t>lasB</w:t>
      </w:r>
      <w:r>
        <w:t xml:space="preserve"> gene codes for the secreted elastase protein LasB and is widely used as a model of QS-mediated virulence (Casilag et al. 2016; Cigana et al. 2021) and cooperation (Diggle et al. 2007; Sexton and Schuster 2017). Significantly, </w:t>
      </w:r>
      <w:r>
        <w:rPr>
          <w:i/>
          <w:iCs/>
        </w:rPr>
        <w:t>lasB</w:t>
      </w:r>
      <w:r>
        <w:t xml:space="preserve"> expression is known to be influenced by both 3‑oxo‑C</w:t>
      </w:r>
      <w:r>
        <w:rPr>
          <w:vertAlign w:val="subscript"/>
        </w:rPr>
        <w:t>12</w:t>
      </w:r>
      <w:r>
        <w:t>‑HSL and C</w:t>
      </w:r>
      <w:r>
        <w:rPr>
          <w:vertAlign w:val="subscript"/>
        </w:rPr>
        <w:t>4</w:t>
      </w:r>
      <w:r>
        <w:t xml:space="preserve">‑HSL (Pearson, Pesci, and Iglewski 1997; Nouwens et al. 2003). To quantify that influence we use the same approach as with </w:t>
      </w:r>
      <w:r>
        <w:rPr>
          <w:i/>
          <w:iCs/>
        </w:rPr>
        <w:t>lasI</w:t>
      </w:r>
      <w:r>
        <w:t xml:space="preserve"> and </w:t>
      </w:r>
      <w:r>
        <w:rPr>
          <w:i/>
          <w:iCs/>
        </w:rPr>
        <w:t>rhlI:</w:t>
      </w:r>
      <w:r>
        <w:t xml:space="preserve"> measure luminescence of a </w:t>
      </w:r>
      <w:r>
        <w:rPr>
          <w:i/>
          <w:iCs/>
        </w:rPr>
        <w:t>lasB</w:t>
      </w:r>
      <w:r>
        <w:t xml:space="preserve"> reporter in a signal null strain exposed to defined, exogenous concentrations of both signals. Figure 9 shows the resulting measurements.</w:t>
      </w:r>
    </w:p>
    <w:p w:rsidR="008319B5" w:rsidRDefault="00000000">
      <w:pPr>
        <w:pStyle w:val="CaptionedFigure"/>
      </w:pPr>
      <w:r>
        <w:rPr>
          <w:noProof/>
        </w:rPr>
        <w:lastRenderedPageBreak/>
        <w:drawing>
          <wp:inline distT="0" distB="0" distL="0" distR="0">
            <wp:extent cx="5657850" cy="2571750"/>
            <wp:effectExtent l="0" t="0" r="0" b="0"/>
            <wp:docPr id="61" name="Picture" descr="lasb_expression"/>
            <wp:cNvGraphicFramePr/>
            <a:graphic xmlns:a="http://schemas.openxmlformats.org/drawingml/2006/main">
              <a:graphicData uri="http://schemas.openxmlformats.org/drawingml/2006/picture">
                <pic:pic xmlns:pic="http://schemas.openxmlformats.org/drawingml/2006/picture">
                  <pic:nvPicPr>
                    <pic:cNvPr id="62" name="Picture" descr="Figures/lasb_expression.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319B5"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Heatmap (panel A) show fold-change in RLU/OD values compared to baseline with no exogenous signals. Surface plot (panel B) shows raw RLU/OD values and compares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parameters in Table 3).</w:t>
      </w:r>
    </w:p>
    <w:p w:rsidR="008319B5" w:rsidRDefault="00000000" w:rsidP="00E70970">
      <w:pPr>
        <w:pStyle w:val="BodyText"/>
      </w:pPr>
      <w:r>
        <w:t xml:space="preserve">These measurements allow us to estimate parameters for a </w:t>
      </w:r>
      <w:r>
        <w:rPr>
          <w:i/>
          <w:iCs/>
        </w:rPr>
        <w:t>lasB</w:t>
      </w:r>
      <w:r>
        <w:t xml:space="preserve"> model based on equation 2; Table 3 lists the results.</w:t>
      </w:r>
      <w:bookmarkStart w:id="8" w:name="tbl:explasb"/>
    </w:p>
    <w:tbl>
      <w:tblPr>
        <w:tblStyle w:val="Table"/>
        <w:tblW w:w="0" w:type="auto"/>
        <w:tblLook w:val="0020" w:firstRow="1" w:lastRow="0" w:firstColumn="0" w:lastColumn="0" w:noHBand="0" w:noVBand="0"/>
        <w:tblCaption w:val="Table 3: explasb"/>
      </w:tblPr>
      <w:tblGrid>
        <w:gridCol w:w="1710"/>
        <w:gridCol w:w="2863"/>
        <w:gridCol w:w="1898"/>
        <w:gridCol w:w="1650"/>
        <w:gridCol w:w="1356"/>
      </w:tblGrid>
      <w:tr w:rsidR="008319B5" w:rsidTr="00E70970">
        <w:trPr>
          <w:cnfStyle w:val="100000000000" w:firstRow="1" w:lastRow="0" w:firstColumn="0" w:lastColumn="0" w:oddVBand="0" w:evenVBand="0" w:oddHBand="0" w:evenHBand="0" w:firstRowFirstColumn="0" w:firstRowLastColumn="0" w:lastRowFirstColumn="0" w:lastRowLastColumn="0"/>
          <w:tblHeader/>
        </w:trPr>
        <w:tc>
          <w:tcPr>
            <w:tcW w:w="0" w:type="auto"/>
          </w:tcPr>
          <w:p w:rsidR="008319B5" w:rsidRDefault="00000000">
            <w:pPr>
              <w:pStyle w:val="Compact"/>
            </w:pPr>
            <w:r>
              <w:t>Signal</w:t>
            </w:r>
          </w:p>
        </w:tc>
        <w:tc>
          <w:tcPr>
            <w:tcW w:w="0" w:type="auto"/>
          </w:tcPr>
          <w:p w:rsidR="008319B5" w:rsidRDefault="00000000">
            <w:pPr>
              <w:pStyle w:val="Compact"/>
            </w:pPr>
            <w:r>
              <w:t>Parameter</w:t>
            </w:r>
          </w:p>
        </w:tc>
        <w:tc>
          <w:tcPr>
            <w:tcW w:w="0" w:type="auto"/>
          </w:tcPr>
          <w:p w:rsidR="008319B5" w:rsidRDefault="00000000">
            <w:pPr>
              <w:pStyle w:val="Compact"/>
              <w:jc w:val="center"/>
            </w:pPr>
            <w:r>
              <w:t>Derivation</w:t>
            </w:r>
          </w:p>
        </w:tc>
        <w:tc>
          <w:tcPr>
            <w:tcW w:w="0" w:type="auto"/>
          </w:tcPr>
          <w:p w:rsidR="008319B5" w:rsidRDefault="00000000">
            <w:pPr>
              <w:pStyle w:val="Compact"/>
              <w:jc w:val="center"/>
            </w:pPr>
            <w:r>
              <w:t>Estimate</w:t>
            </w:r>
          </w:p>
        </w:tc>
        <w:tc>
          <w:tcPr>
            <w:tcW w:w="0" w:type="auto"/>
          </w:tcPr>
          <w:p w:rsidR="008319B5" w:rsidRDefault="00000000">
            <w:pPr>
              <w:pStyle w:val="Compact"/>
              <w:jc w:val="right"/>
            </w:pPr>
            <w:r>
              <w:t>95% C.I.</w:t>
            </w:r>
          </w:p>
        </w:tc>
      </w:tr>
      <w:tr w:rsidR="008319B5" w:rsidTr="00E70970">
        <w:tc>
          <w:tcPr>
            <w:tcW w:w="0" w:type="auto"/>
          </w:tcPr>
          <w:p w:rsidR="008319B5" w:rsidRDefault="008319B5">
            <w:pPr>
              <w:pStyle w:val="Compact"/>
            </w:pPr>
          </w:p>
        </w:tc>
        <w:tc>
          <w:tcPr>
            <w:tcW w:w="0" w:type="auto"/>
          </w:tcPr>
          <w:p w:rsidR="008319B5" w:rsidRDefault="00000000">
            <w:pPr>
              <w:pStyle w:val="Compact"/>
            </w:pPr>
            <w:r>
              <w:t>Basal Expression</w:t>
            </w:r>
          </w:p>
        </w:tc>
        <w:tc>
          <w:tcPr>
            <w:tcW w:w="0" w:type="auto"/>
          </w:tcPr>
          <w:p w:rsidR="008319B5" w:rsidRDefault="00000000">
            <w:pPr>
              <w:pStyle w:val="Compact"/>
              <w:jc w:val="center"/>
            </w:pPr>
            <w:r>
              <w:rPr>
                <w:i/>
                <w:iCs/>
              </w:rPr>
              <w:t>ɑ</w:t>
            </w:r>
            <w:r>
              <w:rPr>
                <w:vertAlign w:val="subscript"/>
              </w:rPr>
              <w:t>3,0</w:t>
            </w:r>
          </w:p>
        </w:tc>
        <w:tc>
          <w:tcPr>
            <w:tcW w:w="0" w:type="auto"/>
          </w:tcPr>
          <w:p w:rsidR="008319B5" w:rsidRDefault="00000000">
            <w:pPr>
              <w:pStyle w:val="Compact"/>
              <w:jc w:val="center"/>
            </w:pPr>
            <w:r>
              <w:t>1588 RLU/OD</w:t>
            </w:r>
          </w:p>
        </w:tc>
        <w:tc>
          <w:tcPr>
            <w:tcW w:w="0" w:type="auto"/>
          </w:tcPr>
          <w:p w:rsidR="008319B5" w:rsidRDefault="00000000">
            <w:pPr>
              <w:pStyle w:val="Compact"/>
              <w:jc w:val="right"/>
            </w:pPr>
            <w:r>
              <w:t>1516 –1660</w:t>
            </w:r>
          </w:p>
        </w:tc>
      </w:tr>
      <w:tr w:rsidR="008319B5" w:rsidTr="00E70970">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8319B5" w:rsidRDefault="00000000">
            <w:pPr>
              <w:pStyle w:val="Compact"/>
              <w:jc w:val="center"/>
            </w:pPr>
            <w:r>
              <w:t>6.1 ×</w:t>
            </w:r>
          </w:p>
        </w:tc>
        <w:tc>
          <w:tcPr>
            <w:tcW w:w="0" w:type="auto"/>
          </w:tcPr>
          <w:p w:rsidR="008319B5" w:rsidRDefault="00000000">
            <w:pPr>
              <w:pStyle w:val="Compact"/>
              <w:jc w:val="right"/>
            </w:pPr>
            <w:r>
              <w:t>5.6 – 6.7</w:t>
            </w:r>
          </w:p>
        </w:tc>
      </w:tr>
      <w:tr w:rsidR="008319B5" w:rsidTr="00E70970">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3,1</w:t>
            </w:r>
          </w:p>
        </w:tc>
        <w:tc>
          <w:tcPr>
            <w:tcW w:w="0" w:type="auto"/>
          </w:tcPr>
          <w:p w:rsidR="008319B5" w:rsidRDefault="00000000">
            <w:pPr>
              <w:pStyle w:val="Compact"/>
              <w:jc w:val="center"/>
            </w:pPr>
            <w:r>
              <w:t>2.5 μM</w:t>
            </w:r>
          </w:p>
        </w:tc>
        <w:tc>
          <w:tcPr>
            <w:tcW w:w="0" w:type="auto"/>
          </w:tcPr>
          <w:p w:rsidR="008319B5" w:rsidRDefault="00000000">
            <w:pPr>
              <w:pStyle w:val="Compact"/>
              <w:jc w:val="right"/>
            </w:pPr>
            <w:r>
              <w:t>1.0 – 3.0</w:t>
            </w:r>
          </w:p>
        </w:tc>
      </w:tr>
      <w:tr w:rsidR="008319B5" w:rsidTr="00E70970">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8319B5" w:rsidRDefault="00000000">
            <w:pPr>
              <w:pStyle w:val="Compact"/>
              <w:jc w:val="center"/>
            </w:pPr>
            <w:r>
              <w:t>1.1 ×</w:t>
            </w:r>
          </w:p>
        </w:tc>
        <w:tc>
          <w:tcPr>
            <w:tcW w:w="0" w:type="auto"/>
          </w:tcPr>
          <w:p w:rsidR="008319B5" w:rsidRDefault="00000000">
            <w:pPr>
              <w:pStyle w:val="Compact"/>
              <w:jc w:val="right"/>
            </w:pPr>
            <w:r>
              <w:t>1.1 – 1.1</w:t>
            </w:r>
          </w:p>
        </w:tc>
      </w:tr>
      <w:tr w:rsidR="008319B5" w:rsidTr="00E70970">
        <w:tc>
          <w:tcPr>
            <w:tcW w:w="0" w:type="auto"/>
          </w:tcPr>
          <w:p w:rsidR="008319B5" w:rsidRDefault="008319B5">
            <w:pPr>
              <w:pStyle w:val="Compact"/>
            </w:pPr>
          </w:p>
        </w:tc>
        <w:tc>
          <w:tcPr>
            <w:tcW w:w="0" w:type="auto"/>
          </w:tcPr>
          <w:p w:rsidR="008319B5" w:rsidRDefault="00000000">
            <w:pPr>
              <w:pStyle w:val="Compact"/>
            </w:pPr>
            <w:r>
              <w:t>½ conc.</w:t>
            </w:r>
          </w:p>
        </w:tc>
        <w:tc>
          <w:tcPr>
            <w:tcW w:w="0" w:type="auto"/>
          </w:tcPr>
          <w:p w:rsidR="008319B5" w:rsidRDefault="00000000">
            <w:pPr>
              <w:pStyle w:val="Compact"/>
              <w:jc w:val="center"/>
            </w:pPr>
            <w:r>
              <w:rPr>
                <w:i/>
                <w:iCs/>
              </w:rPr>
              <w:t>K</w:t>
            </w:r>
            <w:r>
              <w:rPr>
                <w:vertAlign w:val="subscript"/>
              </w:rPr>
              <w:t>3,2</w:t>
            </w:r>
          </w:p>
        </w:tc>
        <w:tc>
          <w:tcPr>
            <w:tcW w:w="0" w:type="auto"/>
          </w:tcPr>
          <w:p w:rsidR="008319B5" w:rsidRDefault="00000000">
            <w:pPr>
              <w:pStyle w:val="Compact"/>
              <w:jc w:val="center"/>
            </w:pPr>
            <w:r>
              <w:t>&lt; 0.001 μM</w:t>
            </w:r>
          </w:p>
        </w:tc>
        <w:tc>
          <w:tcPr>
            <w:tcW w:w="0" w:type="auto"/>
          </w:tcPr>
          <w:p w:rsidR="008319B5" w:rsidRDefault="008319B5">
            <w:pPr>
              <w:pStyle w:val="Compact"/>
            </w:pPr>
          </w:p>
        </w:tc>
      </w:tr>
      <w:tr w:rsidR="008319B5" w:rsidTr="00E70970">
        <w:tc>
          <w:tcPr>
            <w:tcW w:w="0" w:type="auto"/>
          </w:tcPr>
          <w:p w:rsidR="008319B5" w:rsidRDefault="00000000">
            <w:pPr>
              <w:pStyle w:val="Compact"/>
            </w:pPr>
            <w:r>
              <w:t>Combined</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8319B5" w:rsidRDefault="00000000">
            <w:pPr>
              <w:pStyle w:val="Compact"/>
              <w:jc w:val="center"/>
            </w:pPr>
            <w:r>
              <w:t>23 ×</w:t>
            </w:r>
          </w:p>
        </w:tc>
        <w:tc>
          <w:tcPr>
            <w:tcW w:w="0" w:type="auto"/>
          </w:tcPr>
          <w:p w:rsidR="008319B5" w:rsidRDefault="00000000">
            <w:pPr>
              <w:pStyle w:val="Compact"/>
              <w:jc w:val="right"/>
            </w:pPr>
            <w:r>
              <w:t>22 – 24</w:t>
            </w:r>
          </w:p>
        </w:tc>
      </w:tr>
      <w:tr w:rsidR="008319B5" w:rsidTr="00E70970">
        <w:tc>
          <w:tcPr>
            <w:tcW w:w="0" w:type="auto"/>
          </w:tcPr>
          <w:p w:rsidR="008319B5" w:rsidRDefault="008319B5">
            <w:pPr>
              <w:pStyle w:val="Compact"/>
            </w:pPr>
          </w:p>
        </w:tc>
        <w:tc>
          <w:tcPr>
            <w:tcW w:w="0" w:type="auto"/>
          </w:tcPr>
          <w:p w:rsidR="008319B5" w:rsidRDefault="00000000">
            <w:pPr>
              <w:pStyle w:val="Compact"/>
            </w:pPr>
            <w:r>
              <w:t>½ conc. for 3‑oxo‑C</w:t>
            </w:r>
            <w:r>
              <w:rPr>
                <w:vertAlign w:val="subscript"/>
              </w:rPr>
              <w:t>12</w:t>
            </w:r>
            <w:r>
              <w:t>‑HSL</w:t>
            </w:r>
          </w:p>
        </w:tc>
        <w:tc>
          <w:tcPr>
            <w:tcW w:w="0" w:type="auto"/>
          </w:tcPr>
          <w:p w:rsidR="008319B5" w:rsidRDefault="00000000">
            <w:pPr>
              <w:pStyle w:val="Compact"/>
              <w:jc w:val="center"/>
            </w:pPr>
            <w:r>
              <w:rPr>
                <w:i/>
                <w:iCs/>
              </w:rPr>
              <w:t>K</w:t>
            </w:r>
            <w:r>
              <w:rPr>
                <w:i/>
                <w:iCs/>
                <w:vertAlign w:val="subscript"/>
              </w:rPr>
              <w:t>Q</w:t>
            </w:r>
            <w:r>
              <w:rPr>
                <w:vertAlign w:val="subscript"/>
              </w:rPr>
              <w:t>3,1,2</w:t>
            </w:r>
          </w:p>
        </w:tc>
        <w:tc>
          <w:tcPr>
            <w:tcW w:w="0" w:type="auto"/>
          </w:tcPr>
          <w:p w:rsidR="008319B5" w:rsidRDefault="00000000">
            <w:pPr>
              <w:pStyle w:val="Compact"/>
              <w:jc w:val="center"/>
            </w:pPr>
            <w:r>
              <w:t>0.42 μM</w:t>
            </w:r>
          </w:p>
        </w:tc>
        <w:tc>
          <w:tcPr>
            <w:tcW w:w="0" w:type="auto"/>
          </w:tcPr>
          <w:p w:rsidR="008319B5" w:rsidRDefault="00000000">
            <w:pPr>
              <w:pStyle w:val="Compact"/>
              <w:jc w:val="right"/>
            </w:pPr>
            <w:r>
              <w:t>0.35 – 0.48</w:t>
            </w:r>
          </w:p>
        </w:tc>
      </w:tr>
      <w:tr w:rsidR="008319B5" w:rsidTr="00E70970">
        <w:tc>
          <w:tcPr>
            <w:tcW w:w="0" w:type="auto"/>
          </w:tcPr>
          <w:p w:rsidR="008319B5" w:rsidRDefault="008319B5">
            <w:pPr>
              <w:pStyle w:val="Compact"/>
            </w:pPr>
          </w:p>
        </w:tc>
        <w:tc>
          <w:tcPr>
            <w:tcW w:w="0" w:type="auto"/>
          </w:tcPr>
          <w:p w:rsidR="008319B5" w:rsidRDefault="00000000">
            <w:pPr>
              <w:pStyle w:val="Compact"/>
            </w:pPr>
            <w:r>
              <w:t>½ conc. for C</w:t>
            </w:r>
            <w:r>
              <w:rPr>
                <w:vertAlign w:val="subscript"/>
              </w:rPr>
              <w:t>4</w:t>
            </w:r>
            <w:r>
              <w:t>-HSL</w:t>
            </w:r>
          </w:p>
        </w:tc>
        <w:tc>
          <w:tcPr>
            <w:tcW w:w="0" w:type="auto"/>
          </w:tcPr>
          <w:p w:rsidR="008319B5" w:rsidRDefault="00000000">
            <w:pPr>
              <w:pStyle w:val="Compact"/>
              <w:jc w:val="center"/>
            </w:pPr>
            <w:r>
              <w:rPr>
                <w:i/>
                <w:iCs/>
              </w:rPr>
              <w:t>K</w:t>
            </w:r>
            <w:r>
              <w:rPr>
                <w:i/>
                <w:iCs/>
                <w:vertAlign w:val="subscript"/>
              </w:rPr>
              <w:t>Q</w:t>
            </w:r>
            <w:r>
              <w:rPr>
                <w:vertAlign w:val="subscript"/>
              </w:rPr>
              <w:t>3,2,1</w:t>
            </w:r>
          </w:p>
        </w:tc>
        <w:tc>
          <w:tcPr>
            <w:tcW w:w="0" w:type="auto"/>
          </w:tcPr>
          <w:p w:rsidR="008319B5" w:rsidRDefault="00000000">
            <w:pPr>
              <w:pStyle w:val="Compact"/>
              <w:jc w:val="center"/>
            </w:pPr>
            <w:r>
              <w:t>0.22 μM</w:t>
            </w:r>
          </w:p>
        </w:tc>
        <w:tc>
          <w:tcPr>
            <w:tcW w:w="0" w:type="auto"/>
          </w:tcPr>
          <w:p w:rsidR="008319B5" w:rsidRDefault="00000000">
            <w:pPr>
              <w:pStyle w:val="Compact"/>
              <w:jc w:val="right"/>
            </w:pPr>
            <w:r>
              <w:t>0.18 – 0.25</w:t>
            </w:r>
          </w:p>
        </w:tc>
      </w:tr>
    </w:tbl>
    <w:bookmarkEnd w:id="8"/>
    <w:p w:rsidR="008319B5" w:rsidRDefault="00000000">
      <w:pPr>
        <w:pStyle w:val="Caption"/>
      </w:pPr>
      <w:r>
        <w:rPr>
          <w:b/>
          <w:bCs/>
        </w:rPr>
        <w:t xml:space="preserve">Table 3. Multi-signal parameter estimates for </w:t>
      </w:r>
      <w:r>
        <w:rPr>
          <w:b/>
          <w:bCs/>
          <w:iCs/>
        </w:rPr>
        <w:t>lasB.</w:t>
      </w:r>
      <w:r>
        <w:t xml:space="preserve"> Model parameters for </w:t>
      </w:r>
      <w:r>
        <w:rPr>
          <w:iCs/>
        </w:rPr>
        <w:t>lasB</w:t>
      </w:r>
      <w:r>
        <w:t xml:space="preserve"> expression as a function of multiple signal concentrations. Parameters are the same as in Table 2. Values shown with 95% confidence intervals. Half-concentration estimates less than 0.001 μM are below the limits of precision of the experimental data.</w:t>
      </w:r>
    </w:p>
    <w:p w:rsidR="008319B5" w:rsidRDefault="00000000">
      <w:pPr>
        <w:pStyle w:val="BodyText"/>
      </w:pPr>
      <w:r>
        <w:t xml:space="preserve">With the parameter values from Figure 9 data (Table 3) we can predict </w:t>
      </w:r>
      <w:r>
        <w:rPr>
          <w:i/>
          <w:iCs/>
        </w:rPr>
        <w:t>lasB</w:t>
      </w:r>
      <w:r>
        <w:t xml:space="preserve"> expression for combinations of signal concentrations. Furthermore, our parameterized models (Equation 3) can estimate equilibrium signal concentrations based on bacterial density and mass transfer. Integrating both models allows us to probe how </w:t>
      </w:r>
      <w:r>
        <w:rPr>
          <w:i/>
          <w:iCs/>
        </w:rPr>
        <w:t>lasB</w:t>
      </w:r>
      <w:r>
        <w:t xml:space="preserve"> expression varies as those environmental conditions change. Figure 10 shows an example of that variation as a reaction norm (Stearns </w:t>
      </w:r>
      <w:r>
        <w:lastRenderedPageBreak/>
        <w:t xml:space="preserve">1989; Rattray et al. 2022) of </w:t>
      </w:r>
      <w:r>
        <w:rPr>
          <w:i/>
          <w:iCs/>
        </w:rPr>
        <w:t>lasB</w:t>
      </w:r>
      <w:r>
        <w:t xml:space="preserve"> expression against population density. The result is noteworthy as it captures a graded response rather than a threshold response traditionally assumed for quorum sensing. This graded response is consistent with the experimental observations of Rattray et al (2022).</w:t>
      </w:r>
    </w:p>
    <w:p w:rsidR="008319B5" w:rsidRDefault="00000000">
      <w:pPr>
        <w:pStyle w:val="CaptionedFigure"/>
      </w:pPr>
      <w:r>
        <w:rPr>
          <w:noProof/>
        </w:rPr>
        <w:drawing>
          <wp:inline distT="0" distB="0" distL="0" distR="0">
            <wp:extent cx="4076700" cy="3362325"/>
            <wp:effectExtent l="0" t="0" r="0" b="0"/>
            <wp:docPr id="66" name="Picture" descr="lasb_response"/>
            <wp:cNvGraphicFramePr/>
            <a:graphic xmlns:a="http://schemas.openxmlformats.org/drawingml/2006/main">
              <a:graphicData uri="http://schemas.openxmlformats.org/drawingml/2006/picture">
                <pic:pic xmlns:pic="http://schemas.openxmlformats.org/drawingml/2006/picture">
                  <pic:nvPicPr>
                    <pic:cNvPr id="67" name="Picture" descr="Figures/lasb_response.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076700" cy="3362325"/>
                    </a:xfrm>
                    <a:prstGeom prst="rect">
                      <a:avLst/>
                    </a:prstGeom>
                    <a:noFill/>
                    <a:ln w="9525">
                      <a:noFill/>
                      <a:headEnd/>
                      <a:tailEnd/>
                    </a:ln>
                  </pic:spPr>
                </pic:pic>
              </a:graphicData>
            </a:graphic>
          </wp:inline>
        </w:drawing>
      </w:r>
    </w:p>
    <w:p w:rsidR="008319B5" w:rsidRDefault="00000000">
      <w:pPr>
        <w:pStyle w:val="Caption"/>
      </w:pPr>
      <w:r>
        <w:rPr>
          <w:b/>
          <w:bCs/>
        </w:rPr>
        <w:t xml:space="preserve">Figure 10. </w:t>
      </w:r>
      <w:r>
        <w:rPr>
          <w:b/>
          <w:bCs/>
          <w:iCs/>
        </w:rPr>
        <w:t>lasB</w:t>
      </w:r>
      <w:r>
        <w:rPr>
          <w:b/>
          <w:bCs/>
        </w:rPr>
        <w:t xml:space="preserve"> responds to increasing bacterial density in a graded manner.</w:t>
      </w:r>
      <w:r>
        <w:t xml:space="preserve"> Predicted </w:t>
      </w:r>
      <w:r>
        <w:rPr>
          <w:iCs/>
        </w:rPr>
        <w:t>lasB</w:t>
      </w:r>
      <w:r>
        <w:t xml:space="preserve"> expression level is plotted against population density.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3, then predicts </w:t>
      </w:r>
      <w:r>
        <w:rPr>
          <w:iCs/>
        </w:rPr>
        <w:t>lasB</w:t>
      </w:r>
      <w:r>
        <w:t xml:space="preserve"> expression from those concentrations.</w:t>
      </w:r>
    </w:p>
    <w:p w:rsidR="008319B5" w:rsidRDefault="00000000">
      <w:pPr>
        <w:pStyle w:val="Heading3"/>
      </w:pPr>
      <w:bookmarkStart w:id="9" w:name="X69b6e631c0cc37a19996051a6f089d829e00710"/>
      <w:bookmarkEnd w:id="7"/>
      <w:r>
        <w:t>Responses to Environmental Variation Clarify Quorum Sensing Design Principles</w:t>
      </w:r>
    </w:p>
    <w:p w:rsidR="008319B5" w:rsidRDefault="00000000" w:rsidP="00E70970">
      <w:pPr>
        <w:pStyle w:val="FirstParagraph"/>
      </w:pPr>
      <w:r>
        <w:t xml:space="preserve">Knowing that the </w:t>
      </w:r>
      <w:r>
        <w:rPr>
          <w:i/>
          <w:iCs/>
        </w:rPr>
        <w:t>lasI/rhlI</w:t>
      </w:r>
      <w:r>
        <w:t xml:space="preserve"> reciprocal architecture creates the response of Figure 10, we next ask how that response differs from the response of hypothetical, alternative architectures.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 To understand the consequences of alternative architectures for </w:t>
      </w:r>
      <w:r>
        <w:rPr>
          <w:i/>
          <w:iCs/>
        </w:rPr>
        <w:t>P. aeruginosa</w:t>
      </w:r>
      <w:r>
        <w:t xml:space="preserve"> we set the appropriate parameters to zero and note how the response changes. Table 4 shows the parameter values we use for the alternative architectures.</w:t>
      </w:r>
      <w:bookmarkStart w:id="10"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8319B5" w:rsidTr="00E70970">
        <w:trPr>
          <w:cnfStyle w:val="100000000000" w:firstRow="1" w:lastRow="0" w:firstColumn="0" w:lastColumn="0" w:oddVBand="0" w:evenVBand="0" w:oddHBand="0" w:evenHBand="0" w:firstRowFirstColumn="0" w:firstRowLastColumn="0" w:lastRowFirstColumn="0" w:lastRowLastColumn="0"/>
          <w:tblHeader/>
        </w:trPr>
        <w:tc>
          <w:tcPr>
            <w:tcW w:w="0" w:type="auto"/>
          </w:tcPr>
          <w:p w:rsidR="008319B5" w:rsidRDefault="00000000">
            <w:pPr>
              <w:pStyle w:val="Compact"/>
            </w:pPr>
            <w:r>
              <w:t>Gene</w:t>
            </w:r>
          </w:p>
        </w:tc>
        <w:tc>
          <w:tcPr>
            <w:tcW w:w="0" w:type="auto"/>
          </w:tcPr>
          <w:p w:rsidR="008319B5" w:rsidRDefault="00000000">
            <w:pPr>
              <w:pStyle w:val="Compact"/>
            </w:pPr>
            <w:r>
              <w:t>Signal</w:t>
            </w:r>
          </w:p>
        </w:tc>
        <w:tc>
          <w:tcPr>
            <w:tcW w:w="0" w:type="auto"/>
          </w:tcPr>
          <w:p w:rsidR="008319B5" w:rsidRDefault="00000000">
            <w:pPr>
              <w:pStyle w:val="Compact"/>
            </w:pPr>
            <w:r>
              <w:t>Parameter</w:t>
            </w:r>
          </w:p>
        </w:tc>
        <w:tc>
          <w:tcPr>
            <w:tcW w:w="0" w:type="auto"/>
          </w:tcPr>
          <w:p w:rsidR="008319B5" w:rsidRDefault="00000000">
            <w:pPr>
              <w:pStyle w:val="Compact"/>
              <w:jc w:val="center"/>
            </w:pPr>
            <w:r>
              <w:t>Derivation</w:t>
            </w:r>
          </w:p>
        </w:tc>
        <w:tc>
          <w:tcPr>
            <w:tcW w:w="0" w:type="auto"/>
          </w:tcPr>
          <w:p w:rsidR="008319B5" w:rsidRDefault="00000000">
            <w:pPr>
              <w:pStyle w:val="Compact"/>
              <w:jc w:val="center"/>
            </w:pPr>
            <w:r>
              <w:t>Reciprocal Architecture</w:t>
            </w:r>
          </w:p>
        </w:tc>
        <w:tc>
          <w:tcPr>
            <w:tcW w:w="0" w:type="auto"/>
          </w:tcPr>
          <w:p w:rsidR="008319B5" w:rsidRDefault="00000000">
            <w:pPr>
              <w:pStyle w:val="Compact"/>
              <w:jc w:val="center"/>
            </w:pPr>
            <w:r>
              <w:t>Hierarchical Architecture</w:t>
            </w:r>
          </w:p>
        </w:tc>
        <w:tc>
          <w:tcPr>
            <w:tcW w:w="0" w:type="auto"/>
          </w:tcPr>
          <w:p w:rsidR="008319B5" w:rsidRDefault="00000000">
            <w:pPr>
              <w:pStyle w:val="Compact"/>
              <w:jc w:val="center"/>
            </w:pPr>
            <w:r>
              <w:t>Independent Architecture</w:t>
            </w:r>
          </w:p>
        </w:tc>
      </w:tr>
      <w:tr w:rsidR="008319B5" w:rsidTr="00E70970">
        <w:tc>
          <w:tcPr>
            <w:tcW w:w="0" w:type="auto"/>
          </w:tcPr>
          <w:p w:rsidR="008319B5" w:rsidRDefault="00000000">
            <w:pPr>
              <w:pStyle w:val="Compact"/>
            </w:pPr>
            <w:r>
              <w:rPr>
                <w:i/>
                <w:iCs/>
              </w:rPr>
              <w:t>lasI</w:t>
            </w: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38 ×</w:t>
            </w:r>
          </w:p>
        </w:tc>
        <w:tc>
          <w:tcPr>
            <w:tcW w:w="0" w:type="auto"/>
          </w:tcPr>
          <w:p w:rsidR="008319B5" w:rsidRDefault="00000000">
            <w:pPr>
              <w:pStyle w:val="Compact"/>
              <w:jc w:val="center"/>
            </w:pPr>
            <w:r>
              <w:t>38 ×</w:t>
            </w:r>
          </w:p>
        </w:tc>
        <w:tc>
          <w:tcPr>
            <w:tcW w:w="0" w:type="auto"/>
          </w:tcPr>
          <w:p w:rsidR="008319B5" w:rsidRDefault="00000000">
            <w:pPr>
              <w:pStyle w:val="Compact"/>
              <w:jc w:val="center"/>
            </w:pPr>
            <w:r>
              <w:t>38 ×</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6.4 ×</w:t>
            </w:r>
          </w:p>
        </w:tc>
        <w:tc>
          <w:tcPr>
            <w:tcW w:w="0" w:type="auto"/>
          </w:tcPr>
          <w:p w:rsidR="008319B5" w:rsidRDefault="00000000">
            <w:pPr>
              <w:pStyle w:val="Compact"/>
              <w:jc w:val="center"/>
            </w:pPr>
            <w:r>
              <w:t>1 ×</w:t>
            </w:r>
          </w:p>
        </w:tc>
        <w:tc>
          <w:tcPr>
            <w:tcW w:w="0" w:type="auto"/>
          </w:tcPr>
          <w:p w:rsidR="008319B5" w:rsidRDefault="00000000">
            <w:pPr>
              <w:pStyle w:val="Compact"/>
              <w:jc w:val="center"/>
            </w:pPr>
            <w:r>
              <w:t>1 ×</w:t>
            </w:r>
          </w:p>
        </w:tc>
      </w:tr>
      <w:tr w:rsidR="008319B5" w:rsidTr="00E70970">
        <w:tc>
          <w:tcPr>
            <w:tcW w:w="0" w:type="auto"/>
          </w:tcPr>
          <w:p w:rsidR="008319B5" w:rsidRDefault="008319B5">
            <w:pPr>
              <w:pStyle w:val="Compact"/>
            </w:pPr>
          </w:p>
        </w:tc>
        <w:tc>
          <w:tcPr>
            <w:tcW w:w="0" w:type="auto"/>
          </w:tcPr>
          <w:p w:rsidR="008319B5" w:rsidRDefault="00000000">
            <w:pPr>
              <w:pStyle w:val="Compact"/>
            </w:pPr>
            <w:r>
              <w:t>Combined</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30 ×</w:t>
            </w:r>
          </w:p>
        </w:tc>
        <w:tc>
          <w:tcPr>
            <w:tcW w:w="0" w:type="auto"/>
          </w:tcPr>
          <w:p w:rsidR="008319B5" w:rsidRDefault="00000000">
            <w:pPr>
              <w:pStyle w:val="Compact"/>
              <w:jc w:val="center"/>
            </w:pPr>
            <w:r>
              <w:t>1 ×</w:t>
            </w:r>
          </w:p>
        </w:tc>
        <w:tc>
          <w:tcPr>
            <w:tcW w:w="0" w:type="auto"/>
          </w:tcPr>
          <w:p w:rsidR="008319B5" w:rsidRDefault="00000000">
            <w:pPr>
              <w:pStyle w:val="Compact"/>
              <w:jc w:val="center"/>
            </w:pPr>
            <w:r>
              <w:t>1 ×</w:t>
            </w:r>
          </w:p>
        </w:tc>
      </w:tr>
      <w:tr w:rsidR="008319B5" w:rsidTr="00E70970">
        <w:tc>
          <w:tcPr>
            <w:tcW w:w="0" w:type="auto"/>
          </w:tcPr>
          <w:p w:rsidR="008319B5" w:rsidRDefault="00000000">
            <w:pPr>
              <w:pStyle w:val="Compact"/>
            </w:pPr>
            <w:r>
              <w:rPr>
                <w:i/>
                <w:iCs/>
              </w:rPr>
              <w:t>rhlI</w:t>
            </w:r>
          </w:p>
        </w:tc>
        <w:tc>
          <w:tcPr>
            <w:tcW w:w="0" w:type="auto"/>
          </w:tcPr>
          <w:p w:rsidR="008319B5" w:rsidRDefault="00000000">
            <w:pPr>
              <w:pStyle w:val="Compact"/>
            </w:pPr>
            <w:r>
              <w:t>3‑oxo‑C</w:t>
            </w:r>
            <w:r>
              <w:rPr>
                <w:vertAlign w:val="subscript"/>
              </w:rPr>
              <w:t>12</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319B5" w:rsidRDefault="00000000">
            <w:pPr>
              <w:pStyle w:val="Compact"/>
              <w:jc w:val="center"/>
            </w:pPr>
            <w:r>
              <w:t>35 ×</w:t>
            </w:r>
          </w:p>
        </w:tc>
        <w:tc>
          <w:tcPr>
            <w:tcW w:w="0" w:type="auto"/>
          </w:tcPr>
          <w:p w:rsidR="008319B5" w:rsidRDefault="00000000">
            <w:pPr>
              <w:pStyle w:val="Compact"/>
              <w:jc w:val="center"/>
            </w:pPr>
            <w:r>
              <w:t>35 ×</w:t>
            </w:r>
          </w:p>
        </w:tc>
        <w:tc>
          <w:tcPr>
            <w:tcW w:w="0" w:type="auto"/>
          </w:tcPr>
          <w:p w:rsidR="008319B5" w:rsidRDefault="00000000">
            <w:pPr>
              <w:pStyle w:val="Compact"/>
              <w:jc w:val="center"/>
            </w:pPr>
            <w:r>
              <w:t>1 ×</w:t>
            </w:r>
          </w:p>
        </w:tc>
      </w:tr>
      <w:tr w:rsidR="008319B5" w:rsidTr="00E70970">
        <w:tc>
          <w:tcPr>
            <w:tcW w:w="0" w:type="auto"/>
          </w:tcPr>
          <w:p w:rsidR="008319B5" w:rsidRDefault="008319B5">
            <w:pPr>
              <w:pStyle w:val="Compact"/>
            </w:pPr>
          </w:p>
        </w:tc>
        <w:tc>
          <w:tcPr>
            <w:tcW w:w="0" w:type="auto"/>
          </w:tcPr>
          <w:p w:rsidR="008319B5" w:rsidRDefault="00000000">
            <w:pPr>
              <w:pStyle w:val="Compact"/>
            </w:pPr>
            <w:r>
              <w:t>C</w:t>
            </w:r>
            <w:r>
              <w:rPr>
                <w:vertAlign w:val="subscript"/>
              </w:rPr>
              <w:t>4</w:t>
            </w:r>
            <w:r>
              <w:t>‑HSL</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319B5" w:rsidRDefault="00000000">
            <w:pPr>
              <w:pStyle w:val="Compact"/>
              <w:jc w:val="center"/>
            </w:pPr>
            <w:r>
              <w:t>6.4 ×</w:t>
            </w:r>
          </w:p>
        </w:tc>
        <w:tc>
          <w:tcPr>
            <w:tcW w:w="0" w:type="auto"/>
          </w:tcPr>
          <w:p w:rsidR="008319B5" w:rsidRDefault="00000000">
            <w:pPr>
              <w:pStyle w:val="Compact"/>
              <w:jc w:val="center"/>
            </w:pPr>
            <w:r>
              <w:t>6.4 ×</w:t>
            </w:r>
          </w:p>
        </w:tc>
        <w:tc>
          <w:tcPr>
            <w:tcW w:w="0" w:type="auto"/>
          </w:tcPr>
          <w:p w:rsidR="008319B5" w:rsidRDefault="00000000">
            <w:pPr>
              <w:pStyle w:val="Compact"/>
              <w:jc w:val="center"/>
            </w:pPr>
            <w:r>
              <w:t>6.4 ×</w:t>
            </w:r>
          </w:p>
        </w:tc>
      </w:tr>
      <w:tr w:rsidR="008319B5" w:rsidTr="00E70970">
        <w:tc>
          <w:tcPr>
            <w:tcW w:w="0" w:type="auto"/>
          </w:tcPr>
          <w:p w:rsidR="008319B5" w:rsidRDefault="008319B5">
            <w:pPr>
              <w:pStyle w:val="Compact"/>
            </w:pPr>
          </w:p>
        </w:tc>
        <w:tc>
          <w:tcPr>
            <w:tcW w:w="0" w:type="auto"/>
          </w:tcPr>
          <w:p w:rsidR="008319B5" w:rsidRDefault="00000000">
            <w:pPr>
              <w:pStyle w:val="Compact"/>
            </w:pPr>
            <w:r>
              <w:t>Combined</w:t>
            </w:r>
          </w:p>
        </w:tc>
        <w:tc>
          <w:tcPr>
            <w:tcW w:w="0" w:type="auto"/>
          </w:tcPr>
          <w:p w:rsidR="008319B5" w:rsidRDefault="00000000">
            <w:pPr>
              <w:pStyle w:val="Compact"/>
            </w:pPr>
            <w:r>
              <w:t>Max fold-change</w:t>
            </w:r>
          </w:p>
        </w:tc>
        <w:tc>
          <w:tcPr>
            <w:tcW w:w="0" w:type="auto"/>
          </w:tcPr>
          <w:p w:rsidR="008319B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319B5" w:rsidRDefault="00000000">
            <w:pPr>
              <w:pStyle w:val="Compact"/>
              <w:jc w:val="center"/>
            </w:pPr>
            <w:r>
              <w:t>27 ×</w:t>
            </w:r>
          </w:p>
        </w:tc>
        <w:tc>
          <w:tcPr>
            <w:tcW w:w="0" w:type="auto"/>
          </w:tcPr>
          <w:p w:rsidR="008319B5" w:rsidRDefault="00000000">
            <w:pPr>
              <w:pStyle w:val="Compact"/>
              <w:jc w:val="center"/>
            </w:pPr>
            <w:r>
              <w:t>27 ×</w:t>
            </w:r>
          </w:p>
        </w:tc>
        <w:tc>
          <w:tcPr>
            <w:tcW w:w="0" w:type="auto"/>
          </w:tcPr>
          <w:p w:rsidR="008319B5" w:rsidRDefault="00000000">
            <w:pPr>
              <w:pStyle w:val="Compact"/>
              <w:jc w:val="center"/>
            </w:pPr>
            <w:r>
              <w:t>1 ×</w:t>
            </w:r>
          </w:p>
        </w:tc>
      </w:tr>
    </w:tbl>
    <w:bookmarkEnd w:id="10"/>
    <w:p w:rsidR="008319B5" w:rsidRDefault="00000000">
      <w:pPr>
        <w:pStyle w:val="Caption"/>
      </w:pPr>
      <w:r>
        <w:rPr>
          <w:b/>
          <w:bCs/>
        </w:rPr>
        <w:t>Table 4. Hierarchical and independent architectures are special cases of the reciprocal architecture.</w:t>
      </w:r>
      <w:r>
        <w:t xml:space="preserve"> The multi-signal model of Equation 2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8319B5" w:rsidRDefault="00000000">
      <w:pPr>
        <w:pStyle w:val="BodyText"/>
      </w:pPr>
      <w:r>
        <w:t xml:space="preserve">Figure 11 plots </w:t>
      </w:r>
      <w:r>
        <w:rPr>
          <w:i/>
          <w:iCs/>
        </w:rPr>
        <w:t>lasB</w:t>
      </w:r>
      <w:r>
        <w:t xml:space="preserve"> expression as reaction norms (Stearns 1989; Rattray et al. 2022) against population density (A) and mass transfer rate (B) for the three architectures. These results rely on the equilibrium signal concentrations estimated from the model parameters in Table 4. Compared to the baseline reciprocal architecture, the figure predicts that removing the influence of </w:t>
      </w:r>
      <w:r>
        <w:rPr>
          <w:i/>
          <w:iCs/>
        </w:rPr>
        <w:t>rhl</w:t>
      </w:r>
      <w:r>
        <w:t xml:space="preserve"> on </w:t>
      </w:r>
      <w:r>
        <w:rPr>
          <w:i/>
          <w:iCs/>
        </w:rPr>
        <w:t>las</w:t>
      </w:r>
      <w:r>
        <w:t xml:space="preserve"> (hierarchical architecture, dark green line) results in a delayed response to increasing density. Removing all </w:t>
      </w:r>
      <w:r>
        <w:rPr>
          <w:i/>
          <w:iCs/>
        </w:rPr>
        <w:t>las/rhl</w:t>
      </w:r>
      <w:r>
        <w:t xml:space="preserve"> interactions (independent architecture, light green line) attenuates and delays the response to density. The reciprocal architecture is the most sensitive to changes in population density as its </w:t>
      </w:r>
      <w:r>
        <w:rPr>
          <w:i/>
          <w:iCs/>
        </w:rPr>
        <w:t>lasB</w:t>
      </w:r>
      <w:r>
        <w:t xml:space="preserve"> expression fold-change increases the most for a given density value. Figure 10B examines the impact of different architectures on the bacteria’s response to the physical environment. In this case we show expression level as a function of processes affecting mass transfer such as advective flow or diffusive loss of signal. Here, the reciprocal architecture is the least sensitive to changes as its </w:t>
      </w:r>
      <w:r>
        <w:rPr>
          <w:i/>
          <w:iCs/>
        </w:rPr>
        <w:t>lasB</w:t>
      </w:r>
      <w:r>
        <w:t xml:space="preserve"> expression has the smallest decline for a given mass transfer rate.</w:t>
      </w:r>
    </w:p>
    <w:p w:rsidR="008319B5" w:rsidRDefault="00000000">
      <w:pPr>
        <w:pStyle w:val="CaptionedFigure"/>
      </w:pPr>
      <w:r>
        <w:rPr>
          <w:noProof/>
        </w:rPr>
        <w:lastRenderedPageBreak/>
        <w:drawing>
          <wp:inline distT="0" distB="0" distL="0" distR="0">
            <wp:extent cx="5238750" cy="4200525"/>
            <wp:effectExtent l="0" t="0" r="0" b="0"/>
            <wp:docPr id="72" name="Picture" descr="lasb_responses"/>
            <wp:cNvGraphicFramePr/>
            <a:graphic xmlns:a="http://schemas.openxmlformats.org/drawingml/2006/main">
              <a:graphicData uri="http://schemas.openxmlformats.org/drawingml/2006/picture">
                <pic:pic xmlns:pic="http://schemas.openxmlformats.org/drawingml/2006/picture">
                  <pic:nvPicPr>
                    <pic:cNvPr id="73" name="Picture" descr="Figures/lasb_responses.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238750" cy="4200525"/>
                    </a:xfrm>
                    <a:prstGeom prst="rect">
                      <a:avLst/>
                    </a:prstGeom>
                    <a:noFill/>
                    <a:ln w="9525">
                      <a:noFill/>
                      <a:headEnd/>
                      <a:tailEnd/>
                    </a:ln>
                  </pic:spPr>
                </pic:pic>
              </a:graphicData>
            </a:graphic>
          </wp:inline>
        </w:drawing>
      </w:r>
    </w:p>
    <w:p w:rsidR="008319B5" w:rsidRDefault="00000000">
      <w:pPr>
        <w:pStyle w:val="Caption"/>
      </w:pPr>
      <w:r>
        <w:rPr>
          <w:b/>
          <w:bCs/>
        </w:rPr>
        <w:t>Figure 11. The reciprocal QS architecture is more sensitive to population density and more robust to environmental interference.</w:t>
      </w:r>
      <w:r>
        <w:t xml:space="preserve"> Panels A and B show expression of a effector gene under quorum sensing control (</w:t>
      </w:r>
      <w:r>
        <w:rPr>
          <w:iCs/>
        </w:rPr>
        <w:t>lasB</w:t>
      </w:r>
      <w:r>
        <w:t xml:space="preserve">). All graphs include the results for three QS architectures: independent </w:t>
      </w:r>
      <w:r>
        <w:rPr>
          <w:iCs/>
        </w:rPr>
        <w:t>las</w:t>
      </w:r>
      <w:r>
        <w:t xml:space="preserve"> and </w:t>
      </w:r>
      <w:r>
        <w:rPr>
          <w:iCs/>
        </w:rPr>
        <w:t>rhl</w:t>
      </w:r>
      <w:r>
        <w:t xml:space="preserve"> systems, a hierarchy with the </w:t>
      </w:r>
      <w:r>
        <w:rPr>
          <w:iCs/>
        </w:rPr>
        <w:t>las</w:t>
      </w:r>
      <w:r>
        <w:t xml:space="preserve"> system controlling the </w:t>
      </w:r>
      <w:r>
        <w:rPr>
          <w:iCs/>
        </w:rPr>
        <w:t>rhl</w:t>
      </w:r>
      <w:r>
        <w:t xml:space="preserve"> system, and a reciprocal architecture in which both systems influence each other. Panel A shows estimated fold-change in expression as a function of population density approximately equivalent to OD600. Panel B shows percentage decline from maximum expression as a function of mass transfer rate normalized to C</w:t>
      </w:r>
      <w:r>
        <w:rPr>
          <w:vertAlign w:val="subscript"/>
        </w:rPr>
        <w:t>4</w:t>
      </w:r>
      <w:r>
        <w:t>‑HSL decay rate. Response calculated from equation 2 model with parameters from Tables 4 and 3. Panels C through F show the equilibrium signal concentrations the model estimates.</w:t>
      </w:r>
    </w:p>
    <w:p w:rsidR="008319B5" w:rsidRDefault="00000000">
      <w:pPr>
        <w:pStyle w:val="Heading2"/>
      </w:pPr>
      <w:bookmarkStart w:id="11" w:name="discussion"/>
      <w:bookmarkEnd w:id="2"/>
      <w:bookmarkEnd w:id="9"/>
      <w:r>
        <w:t>Discussion</w:t>
      </w:r>
    </w:p>
    <w:p w:rsidR="008319B5" w:rsidRDefault="00000000">
      <w:pPr>
        <w:pStyle w:val="FirstParagraph"/>
      </w:pPr>
      <w:r>
        <w:t xml:space="preserve">In this study we consider different architectures for multi-signal quorum sensing systems (Figure 1) and show that the conventional </w:t>
      </w:r>
      <w:r>
        <w:rPr>
          <w:i/>
          <w:iCs/>
        </w:rPr>
        <w:t>las-rhl</w:t>
      </w:r>
      <w:r>
        <w:t xml:space="preserve"> hierarchical view of QS in </w:t>
      </w:r>
      <w:r>
        <w:rPr>
          <w:i/>
          <w:iCs/>
        </w:rPr>
        <w:t>P. aeruginosa</w:t>
      </w:r>
      <w:r>
        <w:t xml:space="preserve"> (Figure 2) is incomplete. Specifically, we find that both the </w:t>
      </w:r>
      <w:r>
        <w:rPr>
          <w:i/>
          <w:iCs/>
        </w:rPr>
        <w:t>las</w:t>
      </w:r>
      <w:r>
        <w:t xml:space="preserve"> and </w:t>
      </w:r>
      <w:r>
        <w:rPr>
          <w:i/>
          <w:iCs/>
        </w:rPr>
        <w:t>rhl</w:t>
      </w:r>
      <w:r>
        <w:t xml:space="preserve"> systems regulate each other. Figure 3 corroborates the influence of </w:t>
      </w:r>
      <w:r>
        <w:rPr>
          <w:i/>
          <w:iCs/>
        </w:rPr>
        <w:t>las</w:t>
      </w:r>
      <w:r>
        <w:t xml:space="preserve"> on </w:t>
      </w:r>
      <w:r>
        <w:rPr>
          <w:i/>
          <w:iCs/>
        </w:rPr>
        <w:t>rhl</w:t>
      </w:r>
      <w:r>
        <w:t xml:space="preserve">, but, contrary to the hierarchical view, we also show in Figure 4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This effect is substantial, as C</w:t>
      </w:r>
      <w:r>
        <w:rPr>
          <w:vertAlign w:val="subscript"/>
        </w:rPr>
        <w:t>4</w:t>
      </w:r>
      <w:r>
        <w:t xml:space="preserve">‑HSL alone induces more than a six-fold increase in </w:t>
      </w:r>
      <w:r>
        <w:rPr>
          <w:i/>
          <w:iCs/>
        </w:rPr>
        <w:t>lasI</w:t>
      </w:r>
      <w:r>
        <w:t xml:space="preserve"> expression compared to basal levels. We confirm these results when both signals are present simultaneously (Figure 5), and further show that both </w:t>
      </w:r>
      <w:r>
        <w:rPr>
          <w:i/>
          <w:iCs/>
        </w:rPr>
        <w:t>las</w:t>
      </w:r>
      <w:r>
        <w:t xml:space="preserve"> and </w:t>
      </w:r>
      <w:r>
        <w:rPr>
          <w:i/>
          <w:iCs/>
        </w:rPr>
        <w:t>rhl</w:t>
      </w:r>
      <w:r>
        <w:t xml:space="preserve"> synthase genes require both signals for maximal expression. By fitting a mathematical model, we demonstrate that simple additive effects are insufficient to </w:t>
      </w:r>
      <w:r>
        <w:lastRenderedPageBreak/>
        <w:t xml:space="preserve">explain our data (Figure 6). Closing the gap apparent in Figure 6 requires that the signals interact cooperatively to augment their additive effects. By modeling both the reciprocal relationship and the effect of cooperativity, we provide a quantitative model for QS in a model system, and conclude that the </w:t>
      </w:r>
      <w:r>
        <w:rPr>
          <w:i/>
          <w:iCs/>
        </w:rPr>
        <w:t>las</w:t>
      </w:r>
      <w:r>
        <w:t>-</w:t>
      </w:r>
      <w:r>
        <w:rPr>
          <w:i/>
          <w:iCs/>
        </w:rPr>
        <w:t>rhl</w:t>
      </w:r>
      <w:r>
        <w:t xml:space="preserve"> relationship forms a biased reciprocal network (Figure 8). We then model the effect of this architecture on a representative QS-controlled gene (</w:t>
      </w:r>
      <w:r>
        <w:rPr>
          <w:i/>
          <w:iCs/>
        </w:rPr>
        <w:t>lasB</w:t>
      </w:r>
      <w:r>
        <w:t xml:space="preserve">) and compare the results with other architectures. We demonstrate that the type of architecture can have a qualitative effect on QS-mediated behavior. In particular, we find that, compared to a strict hierarchy, the reciprocal architecture results in </w:t>
      </w:r>
      <w:r>
        <w:rPr>
          <w:i/>
          <w:iCs/>
        </w:rPr>
        <w:t>lasB</w:t>
      </w:r>
      <w:r>
        <w:t xml:space="preserve"> expression that is more sensitive to population density and more robust in the presence of environmental interference (Figure 11).</w:t>
      </w:r>
    </w:p>
    <w:p w:rsidR="008319B5" w:rsidRDefault="00000000">
      <w:pPr>
        <w:pStyle w:val="BodyText"/>
      </w:pPr>
      <w:r>
        <w:t>By focusing on signal concentration as the factor determining behavior, our approach accommodates multiple possible molecular mechanisms. It does mean, however, that we cannot easily distinguish between them.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w:t>
      </w:r>
    </w:p>
    <w:p w:rsidR="008319B5" w:rsidRDefault="00000000">
      <w:pPr>
        <w:pStyle w:val="BodyText"/>
      </w:pPr>
      <w:r>
        <w:t xml:space="preserve">It should be noted that our use of </w:t>
      </w:r>
      <w:r>
        <w:rPr>
          <w:i/>
          <w:iCs/>
        </w:rPr>
        <w:t>ΔlasIΔrhlI</w:t>
      </w:r>
      <w:r>
        <w:t xml:space="preserve"> cells might cause differences between our observations and wild type responses. In particular, we make two assumptions about the mutant strain. First, we assume that the only effect of the </w:t>
      </w:r>
      <w:r>
        <w:rPr>
          <w:i/>
          <w:iCs/>
        </w:rPr>
        <w:t>lasI</w:t>
      </w:r>
      <w:r>
        <w:t xml:space="preserve"> and </w:t>
      </w:r>
      <w:r>
        <w:rPr>
          <w:i/>
          <w:iCs/>
        </w:rPr>
        <w:t>rhlI</w:t>
      </w:r>
      <w:r>
        <w:t xml:space="preserve"> deletions is an inability to successfully produce LasI and RhlI proteins. Secondly, we assume that the only relevant phenotypic function of those proteins is the synthesis of the corresponding signal molecules. Although we cannot rule out pleiotropic effects from the strain construction or lack of synthase proteins, we find no reports of pleiotropic effects in the literature and do not expect that any such effects would alter our conclusions.</w:t>
      </w:r>
    </w:p>
    <w:p w:rsidR="008319B5" w:rsidRDefault="00000000">
      <w:pPr>
        <w:pStyle w:val="BodyText"/>
      </w:pPr>
      <w:r>
        <w:t xml:space="preserve">Our first key result demonstrates that the </w:t>
      </w:r>
      <w:r>
        <w:rPr>
          <w:i/>
          <w:iCs/>
        </w:rPr>
        <w:t>las</w:t>
      </w:r>
      <w:r>
        <w:t xml:space="preserve"> and </w:t>
      </w:r>
      <w:r>
        <w:rPr>
          <w:i/>
          <w:iCs/>
        </w:rPr>
        <w:t>rhl</w:t>
      </w:r>
      <w:r>
        <w:t xml:space="preserve"> systems form a reciprocal architecture, extending existing research into the relationship between those systems. Many researchers (Pesci et al. 1997; Kievit et al. 2002; Medina et al. 2003) have shown that the </w:t>
      </w:r>
      <w:r>
        <w:rPr>
          <w:i/>
          <w:iCs/>
        </w:rPr>
        <w:t>las</w:t>
      </w:r>
      <w:r>
        <w:t xml:space="preserve"> system is essential for maximal expression of genes in the </w:t>
      </w:r>
      <w:r>
        <w:rPr>
          <w:i/>
          <w:iCs/>
        </w:rPr>
        <w:t>rhl</w:t>
      </w:r>
      <w:r>
        <w:t xml:space="preserve"> system. Our data substantiates those results, but we also show the converse: the </w:t>
      </w:r>
      <w:r>
        <w:rPr>
          <w:i/>
          <w:iCs/>
        </w:rPr>
        <w:t>rhl</w:t>
      </w:r>
      <w:r>
        <w:t xml:space="preserve"> system, in particular its signal C</w:t>
      </w:r>
      <w:r>
        <w:rPr>
          <w:vertAlign w:val="subscript"/>
        </w:rPr>
        <w:t>4</w:t>
      </w:r>
      <w:r>
        <w:t xml:space="preserve">‑HSL, is essential for maximum expression of a gene in the </w:t>
      </w:r>
      <w:r>
        <w:rPr>
          <w:i/>
          <w:iCs/>
        </w:rPr>
        <w:t>las</w:t>
      </w:r>
      <w:r>
        <w:t xml:space="preserve"> system. We further extend prior results by considering the combination of both signals and by quantifying the relationship between the systems. Most previous attempts at this quantification have assumed a hierarchical architecture. For example, de Kievit et al. (2002) demonstrate that LasR/3‑oxo‑C</w:t>
      </w:r>
      <w:r>
        <w:rPr>
          <w:vertAlign w:val="subscript"/>
        </w:rPr>
        <w:t>12</w:t>
      </w:r>
      <w:r>
        <w:t xml:space="preserve">‑HSL alone influences </w:t>
      </w:r>
      <w:r>
        <w:rPr>
          <w:i/>
          <w:iCs/>
        </w:rPr>
        <w:t>rhlI</w:t>
      </w:r>
      <w:r>
        <w:t xml:space="preserve"> expression more than RhlR/C</w:t>
      </w:r>
      <w:r>
        <w:rPr>
          <w:vertAlign w:val="subscript"/>
        </w:rPr>
        <w:t>4</w:t>
      </w:r>
      <w:r>
        <w:t xml:space="preserve">‑HSL alone, a result consistent with our data. Their analysis, however, is limited to measuring the response of the </w:t>
      </w:r>
      <w:r>
        <w:rPr>
          <w:i/>
          <w:iCs/>
        </w:rPr>
        <w:t>rhl</w:t>
      </w:r>
      <w:r>
        <w:t xml:space="preserve"> system. Analyses of the effect of C</w:t>
      </w:r>
      <w:r>
        <w:rPr>
          <w:vertAlign w:val="subscript"/>
        </w:rPr>
        <w:t>4</w:t>
      </w:r>
      <w:r>
        <w:t xml:space="preserve">‑HSL on the </w:t>
      </w:r>
      <w:r>
        <w:rPr>
          <w:i/>
          <w:iCs/>
        </w:rPr>
        <w:t>las</w:t>
      </w:r>
      <w:r>
        <w:t xml:space="preserve"> system are much less common, though Wargo and Hogan (2007) do report that a </w:t>
      </w:r>
      <w:r>
        <w:rPr>
          <w:i/>
          <w:iCs/>
        </w:rPr>
        <w:t>rhlI</w:t>
      </w:r>
      <w:r>
        <w:t xml:space="preserve"> mutant produced the same 3‑oxo‑C</w:t>
      </w:r>
      <w:r>
        <w:rPr>
          <w:vertAlign w:val="subscript"/>
        </w:rPr>
        <w:t>12</w:t>
      </w:r>
      <w:r>
        <w:t xml:space="preserve">‑HSL concentrations as wild type. Those experiments were conducted in </w:t>
      </w:r>
      <w:r>
        <w:rPr>
          <w:i/>
          <w:iCs/>
        </w:rPr>
        <w:t>Escherichia coli,</w:t>
      </w:r>
      <w:r>
        <w:t xml:space="preserve"> however, and the authors acknowledge that </w:t>
      </w:r>
      <w:r>
        <w:rPr>
          <w:i/>
          <w:iCs/>
        </w:rPr>
        <w:t>E. coli</w:t>
      </w:r>
      <w:r>
        <w:t xml:space="preserve"> may include its own regulators that mimic the behavior of C</w:t>
      </w:r>
      <w:r>
        <w:rPr>
          <w:vertAlign w:val="subscript"/>
        </w:rPr>
        <w:t>4</w:t>
      </w:r>
      <w:r>
        <w:t>‑HSL. As with other published reports, the focus is on single signals in isolation, which necessarily neglects the effect of both signals combined.</w:t>
      </w:r>
    </w:p>
    <w:p w:rsidR="008319B5" w:rsidRDefault="00000000">
      <w:pPr>
        <w:pStyle w:val="BodyText"/>
      </w:pPr>
      <w:r>
        <w:t xml:space="preserve">In shifting from the molecular to the population level, we adopt common single signal QS mathematical models (Dockery and Keener 2001; Brown 2013). This approach has produced both theoretical conjectures (Pai and You 2009) and experimental interpretations (Fekete et al. 2010). Our analysis extends the models to account for multiple QS signals and interactions </w:t>
      </w:r>
      <w:r>
        <w:lastRenderedPageBreak/>
        <w:t>between them. In this way we can study not only isolated quorum sensing systems, but also networks of interrelated systems. We can both characterize the architectures of those systems and quantify the intra-system and inter-system effects.</w:t>
      </w:r>
    </w:p>
    <w:p w:rsidR="008319B5" w:rsidRDefault="00000000">
      <w:pPr>
        <w:pStyle w:val="BodyText"/>
      </w:pPr>
      <w:r>
        <w:t xml:space="preserve">By choosing the </w:t>
      </w:r>
      <w:r>
        <w:rPr>
          <w:i/>
          <w:iCs/>
        </w:rPr>
        <w:t>las</w:t>
      </w:r>
      <w:r>
        <w:t xml:space="preserve"> and </w:t>
      </w:r>
      <w:r>
        <w:rPr>
          <w:i/>
          <w:iCs/>
        </w:rPr>
        <w:t>rhl</w:t>
      </w:r>
      <w:r>
        <w:t xml:space="preserve"> quorum sensing systems for this study, we focus on a relatively straightforward QS architecture. It consists of only two systems that reinforce each other. </w:t>
      </w:r>
      <w:r>
        <w:rPr>
          <w:i/>
          <w:iCs/>
        </w:rPr>
        <w:t>P. aeruginosa</w:t>
      </w:r>
      <w:r>
        <w:t xml:space="preserve"> has other QS systems such as </w:t>
      </w:r>
      <w:r>
        <w:rPr>
          <w:i/>
          <w:iCs/>
        </w:rPr>
        <w:t>pqs</w:t>
      </w:r>
      <w:r>
        <w:t xml:space="preserve"> (Pesci et al. 1999), however, and it is not unique in having more than two. Other species (</w:t>
      </w:r>
      <w:r>
        <w:rPr>
          <w:i/>
          <w:iCs/>
        </w:rPr>
        <w:t>V. cholerae,</w:t>
      </w:r>
      <w:r>
        <w:t xml:space="preserve"> </w:t>
      </w:r>
      <w:r>
        <w:rPr>
          <w:i/>
          <w:iCs/>
        </w:rPr>
        <w:t>A. fischeri,</w:t>
      </w:r>
      <w:r>
        <w:t xml:space="preserve"> and </w:t>
      </w:r>
      <w:r>
        <w:rPr>
          <w:i/>
          <w:iCs/>
        </w:rPr>
        <w:t>V. harveyi</w:t>
      </w:r>
      <w:r>
        <w:t>) have at least three parallel systems (Waters and Bassler 2005), and some may have as many as eight (Brachmann et al. 2013). Our modeling approach can accomodate all of these species as Equations 2 and 3 allow for any number of distinct QS systems.</w:t>
      </w:r>
    </w:p>
    <w:p w:rsidR="008319B5" w:rsidRDefault="00000000">
      <w:pPr>
        <w:pStyle w:val="BodyText"/>
      </w:pPr>
      <w:r>
        <w:t xml:space="preserve">Furthermore, different systems do not always reinforce each other. In some cases one system can repress another, as is the case with the </w:t>
      </w:r>
      <w:r>
        <w:rPr>
          <w:i/>
          <w:iCs/>
        </w:rPr>
        <w:t>pqs</w:t>
      </w:r>
      <w:r>
        <w:t xml:space="preserve"> system of </w:t>
      </w:r>
      <w:r>
        <w:rPr>
          <w:i/>
          <w:iCs/>
        </w:rPr>
        <w:t>P. aeruginosa</w:t>
      </w:r>
      <w:r>
        <w:t xml:space="preserve"> (McGrath, Wade, and Pesci 2004). Cross-system repression has been identified in </w:t>
      </w:r>
      <w:r>
        <w:rPr>
          <w:i/>
          <w:iCs/>
        </w:rPr>
        <w:t>B. subtilis</w:t>
      </w:r>
      <w:r>
        <w:t xml:space="preserve"> (Lazazzera, Solomon, and Grossman 1997), </w:t>
      </w:r>
      <w:r>
        <w:rPr>
          <w:i/>
          <w:iCs/>
        </w:rPr>
        <w:t>V. fluvialis</w:t>
      </w:r>
      <w:r>
        <w:t xml:space="preserve"> (Wang et al. 2013), and </w:t>
      </w:r>
      <w:r>
        <w:rPr>
          <w:i/>
          <w:iCs/>
        </w:rPr>
        <w:t>V. cholerae</w:t>
      </w:r>
      <w:r>
        <w:t xml:space="preserve"> (Herzog et al. 2019). Quantifying that repression with our models can distinguish different population-level behaviors. Repression by one system can limit expression of the other system, or it can stop expression entirely. Those possibilities, illustrated in Figure 12, may have vastly different effects on the population-level response to changes in stationary phase density.</w:t>
      </w:r>
    </w:p>
    <w:p w:rsidR="008319B5" w:rsidRDefault="00000000">
      <w:pPr>
        <w:pStyle w:val="CaptionedFigure"/>
      </w:pPr>
      <w:r>
        <w:rPr>
          <w:noProof/>
        </w:rPr>
        <w:drawing>
          <wp:inline distT="0" distB="0" distL="0" distR="0">
            <wp:extent cx="4638675" cy="1800225"/>
            <wp:effectExtent l="0" t="0" r="0" b="0"/>
            <wp:docPr id="78" name="Picture" descr="repression"/>
            <wp:cNvGraphicFramePr/>
            <a:graphic xmlns:a="http://schemas.openxmlformats.org/drawingml/2006/main">
              <a:graphicData uri="http://schemas.openxmlformats.org/drawingml/2006/picture">
                <pic:pic xmlns:pic="http://schemas.openxmlformats.org/drawingml/2006/picture">
                  <pic:nvPicPr>
                    <pic:cNvPr id="79" name="Picture" descr="Figures/repression.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4638675" cy="1800225"/>
                    </a:xfrm>
                    <a:prstGeom prst="rect">
                      <a:avLst/>
                    </a:prstGeom>
                    <a:noFill/>
                    <a:ln w="9525">
                      <a:noFill/>
                      <a:headEnd/>
                      <a:tailEnd/>
                    </a:ln>
                  </pic:spPr>
                </pic:pic>
              </a:graphicData>
            </a:graphic>
          </wp:inline>
        </w:drawing>
      </w:r>
    </w:p>
    <w:p w:rsidR="008319B5" w:rsidRDefault="00000000">
      <w:pPr>
        <w:pStyle w:val="Caption"/>
      </w:pPr>
      <w:r>
        <w:rPr>
          <w:b/>
          <w:bCs/>
        </w:rPr>
        <w:t>Figure 12. Repressive quorum sensing systems can have various effects on the overall response.</w:t>
      </w:r>
      <w:r>
        <w:t xml:space="preserve"> The plot shows the overall response (e.g. expression level of a downstream gene) to population density for two types of repressive systems. It also shows the response of an unconstrained single system for comparison.</w:t>
      </w:r>
    </w:p>
    <w:p w:rsidR="008319B5" w:rsidRDefault="00000000">
      <w:pPr>
        <w:pStyle w:val="BodyText"/>
      </w:pPr>
      <w:r>
        <w:t>Finally, although we are able to model QS architectures at the cellular and population level, it is not clear how traditional gene regulatory networks can achieve the responses we observe. Long et al. (2009) suggest that multiple activating transcription factors combine additively, but that can only be true if the effects of each are independent. In contrast, Kaplan et al. (2008) claim that multiple inputs controlling gene expression usually combine multiplicatively. This relationship holds when the binding of one factor to the promoter depends on the presence of the second at that promoter. As Figure 6 makes clear, neither approach can adequately explain our data.</w:t>
      </w:r>
    </w:p>
    <w:p w:rsidR="008319B5" w:rsidRDefault="00000000">
      <w:pPr>
        <w:pStyle w:val="BodyText"/>
      </w:pPr>
      <w:r>
        <w:t xml:space="preserve">Sauer et al. (1995)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Their results offer a tantalizing possibility </w:t>
      </w:r>
      <w:r>
        <w:lastRenderedPageBreak/>
        <w:t xml:space="preserve">that further investigations into the mechanisms of </w:t>
      </w:r>
      <w:r>
        <w:rPr>
          <w:i/>
          <w:iCs/>
        </w:rPr>
        <w:t>P. aeruginosa</w:t>
      </w:r>
      <w:r>
        <w:t xml:space="preserve"> quorum sensing interactions can provide insights into more general gene regulatory networks.</w:t>
      </w:r>
    </w:p>
    <w:p w:rsidR="008319B5" w:rsidRDefault="00000000">
      <w:pPr>
        <w:pStyle w:val="Heading2"/>
      </w:pPr>
      <w:bookmarkStart w:id="12" w:name="methods"/>
      <w:bookmarkEnd w:id="11"/>
      <w:r>
        <w:t>Methods</w:t>
      </w:r>
    </w:p>
    <w:p w:rsidR="008319B5" w:rsidRDefault="00000000">
      <w:pPr>
        <w:pStyle w:val="Heading3"/>
      </w:pPr>
      <w:bookmarkStart w:id="13" w:name="data-collection"/>
      <w:r>
        <w:t>Data Collection</w:t>
      </w:r>
    </w:p>
    <w:p w:rsidR="008319B5"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8319B5"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8319B5" w:rsidRDefault="00000000">
      <w:pPr>
        <w:pStyle w:val="Heading3"/>
      </w:pPr>
      <w:bookmarkStart w:id="14" w:name="data-analysis"/>
      <w:bookmarkEnd w:id="13"/>
      <w:r>
        <w:t>Data Analysis</w:t>
      </w:r>
    </w:p>
    <w:p w:rsidR="008319B5" w:rsidRDefault="00000000">
      <w:pPr>
        <w:pStyle w:val="FirstParagraph"/>
      </w:pPr>
      <w:r>
        <w:t xml:space="preserve">We estimated parameter values in Tables 1, 2, 4, and 3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8319B5" w:rsidRDefault="00000000">
      <w:pPr>
        <w:pStyle w:val="BodyText"/>
      </w:pPr>
      <w:r>
        <w:t>Additional third-party modules:</w:t>
      </w:r>
    </w:p>
    <w:p w:rsidR="008319B5"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8319B5"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8319B5"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8319B5" w:rsidRDefault="00000000">
      <w:pPr>
        <w:pStyle w:val="BodyText"/>
      </w:pPr>
      <w:r>
        <w:t>Custom color schemes adapted from seaboarn.</w:t>
      </w:r>
    </w:p>
    <w:p w:rsidR="008319B5" w:rsidRDefault="00000000">
      <w:pPr>
        <w:pStyle w:val="Bibliography"/>
      </w:pPr>
      <w:r>
        <w:lastRenderedPageBreak/>
        <w:t xml:space="preserve">Watson ML. “seaborn: statistical data visualization.” </w:t>
      </w:r>
      <w:r>
        <w:rPr>
          <w:i/>
          <w:iCs/>
        </w:rPr>
        <w:t>Journal of Open Source Software</w:t>
      </w:r>
      <w:r>
        <w:t xml:space="preserve"> 2021 Apr 06;</w:t>
      </w:r>
      <w:r>
        <w:rPr>
          <w:b/>
          <w:bCs/>
        </w:rPr>
        <w:t>6(60)</w:t>
      </w:r>
      <w:r>
        <w:t>: doi: 10.21105/joss.03021.</w:t>
      </w:r>
    </w:p>
    <w:p w:rsidR="00E70970" w:rsidRPr="00E70970" w:rsidRDefault="00000000" w:rsidP="00E70970">
      <w:pPr>
        <w:pStyle w:val="Heading2"/>
        <w:spacing w:after="240"/>
      </w:pPr>
      <w:bookmarkStart w:id="15" w:name="references"/>
      <w:bookmarkEnd w:id="12"/>
      <w:bookmarkEnd w:id="14"/>
      <w:r>
        <w:t>References</w:t>
      </w:r>
    </w:p>
    <w:p w:rsidR="008319B5" w:rsidRDefault="00000000">
      <w:pPr>
        <w:pStyle w:val="Bibliography"/>
      </w:pPr>
      <w:bookmarkStart w:id="16" w:name="ref-Bolouri2008"/>
      <w:bookmarkStart w:id="17" w:name="refs"/>
      <w:r>
        <w:t xml:space="preserve">Bolouri, Hamid. 2008. </w:t>
      </w:r>
      <w:r>
        <w:rPr>
          <w:i/>
          <w:iCs/>
        </w:rPr>
        <w:t>Computational Modeling of Gene Regulatory Networks: A Primer</w:t>
      </w:r>
      <w:r>
        <w:t>. Imperial College Press.</w:t>
      </w:r>
    </w:p>
    <w:p w:rsidR="008319B5" w:rsidRDefault="00000000">
      <w:pPr>
        <w:pStyle w:val="Bibliography"/>
      </w:pPr>
      <w:bookmarkStart w:id="18" w:name="ref-Bottomley2007"/>
      <w:bookmarkEnd w:id="16"/>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8319B5" w:rsidRDefault="00000000">
      <w:pPr>
        <w:pStyle w:val="Bibliography"/>
      </w:pPr>
      <w:bookmarkStart w:id="19" w:name="ref-Brachmann2013"/>
      <w:bookmarkEnd w:id="18"/>
      <w:r>
        <w:t xml:space="preserve">Brachmann, AO, S Brameyer, D Kresovic, I Hitkova, Y Kopp, C Manske, K Schubert, HB Bode, and R Heermann. 2013. “Pyrones as Bacterial Signaling Molecules.” </w:t>
      </w:r>
      <w:r>
        <w:rPr>
          <w:i/>
          <w:iCs/>
        </w:rPr>
        <w:t>Nat Chem Biol</w:t>
      </w:r>
      <w:r>
        <w:t xml:space="preserve"> 9 (9): 573–78.</w:t>
      </w:r>
    </w:p>
    <w:p w:rsidR="008319B5" w:rsidRDefault="00000000">
      <w:pPr>
        <w:pStyle w:val="Bibliography"/>
      </w:pPr>
      <w:bookmarkStart w:id="20" w:name="ref-Brown2013"/>
      <w:bookmarkEnd w:id="19"/>
      <w:r>
        <w:t xml:space="preserve">Brown, D. 2013. “Linking Molecular and Population Processes in Mathematical Models of Quorum Sensing.” </w:t>
      </w:r>
      <w:r>
        <w:rPr>
          <w:i/>
          <w:iCs/>
        </w:rPr>
        <w:t>Bull Math Biol</w:t>
      </w:r>
      <w:r>
        <w:t xml:space="preserve"> 75 (10): 1813–39.</w:t>
      </w:r>
    </w:p>
    <w:p w:rsidR="008319B5" w:rsidRDefault="00000000">
      <w:pPr>
        <w:pStyle w:val="Bibliography"/>
      </w:pPr>
      <w:bookmarkStart w:id="21" w:name="ref-Buchler2003"/>
      <w:bookmarkEnd w:id="20"/>
      <w:r>
        <w:t xml:space="preserve">Buchler, NE, U Gerland, and T Hwa. 2003. “On Schemes of Combinatorial Transcription Logic.” </w:t>
      </w:r>
      <w:r>
        <w:rPr>
          <w:i/>
          <w:iCs/>
        </w:rPr>
        <w:t>Proc Natl Acad Sci U S A</w:t>
      </w:r>
      <w:r>
        <w:t xml:space="preserve"> 100 (9): 5136–41.</w:t>
      </w:r>
    </w:p>
    <w:p w:rsidR="008319B5" w:rsidRDefault="00000000">
      <w:pPr>
        <w:pStyle w:val="Bibliography"/>
      </w:pPr>
      <w:bookmarkStart w:id="22" w:name="ref-Casilag2016"/>
      <w:bookmarkEnd w:id="21"/>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8319B5" w:rsidRDefault="00000000">
      <w:pPr>
        <w:pStyle w:val="Bibliography"/>
      </w:pPr>
      <w:bookmarkStart w:id="23" w:name="ref-Chugani2001"/>
      <w:bookmarkEnd w:id="22"/>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8319B5" w:rsidRDefault="00000000">
      <w:pPr>
        <w:pStyle w:val="Bibliography"/>
      </w:pPr>
      <w:bookmarkStart w:id="24" w:name="ref-Cigana2021"/>
      <w:bookmarkEnd w:id="23"/>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8319B5" w:rsidRDefault="00000000">
      <w:pPr>
        <w:pStyle w:val="Bibliography"/>
      </w:pPr>
      <w:bookmarkStart w:id="25" w:name="ref-Cornforth2014"/>
      <w:bookmarkEnd w:id="24"/>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8319B5" w:rsidRDefault="00000000">
      <w:pPr>
        <w:pStyle w:val="Bibliography"/>
      </w:pPr>
      <w:bookmarkStart w:id="26" w:name="ref-Diggle2007"/>
      <w:bookmarkEnd w:id="25"/>
      <w:r>
        <w:t xml:space="preserve">Diggle, SP, AS Griffin, GS Campbell, and SA West. 2007. “Cooperation and Conflict in Quorum-Sensing Bacterial Populations.” </w:t>
      </w:r>
      <w:r>
        <w:rPr>
          <w:i/>
          <w:iCs/>
        </w:rPr>
        <w:t>Nature</w:t>
      </w:r>
      <w:r>
        <w:t xml:space="preserve"> 450 (7168): 411–14.</w:t>
      </w:r>
    </w:p>
    <w:p w:rsidR="008319B5" w:rsidRDefault="00000000">
      <w:pPr>
        <w:pStyle w:val="Bibliography"/>
      </w:pPr>
      <w:bookmarkStart w:id="27" w:name="ref-Dockery2001"/>
      <w:bookmarkEnd w:id="26"/>
      <w:r>
        <w:t xml:space="preserve">Dockery, JD, and JP Keener. 2001. “A Mathematical Model for Quorum Sensing in </w:t>
      </w:r>
      <w:r>
        <w:rPr>
          <w:i/>
          <w:iCs/>
        </w:rPr>
        <w:t>Pseudomonas Aeruginosa</w:t>
      </w:r>
      <w:r>
        <w:t xml:space="preserve">.” </w:t>
      </w:r>
      <w:r>
        <w:rPr>
          <w:i/>
          <w:iCs/>
        </w:rPr>
        <w:t>Bull Math Biol</w:t>
      </w:r>
      <w:r>
        <w:t xml:space="preserve"> 63 (1): 95–116.</w:t>
      </w:r>
    </w:p>
    <w:p w:rsidR="008319B5" w:rsidRDefault="00000000">
      <w:pPr>
        <w:pStyle w:val="Bibliography"/>
      </w:pPr>
      <w:bookmarkStart w:id="28" w:name="ref-Fekete2010"/>
      <w:bookmarkEnd w:id="27"/>
      <w:r>
        <w:t xml:space="preserve">Fekete, A, C Kuttler, M Rothballer, BA Hense, D Fischer, K Buddrus-Schiemann, M Lucio, J Müller, P Schmitt-Kopplin, and A Hartmann. 2010. “Dynamic Regulation of n-Acyl-Homoserine Lactone Production and Degradation in </w:t>
      </w:r>
      <w:r>
        <w:rPr>
          <w:i/>
          <w:iCs/>
        </w:rPr>
        <w:t>Pseudomonas Putida</w:t>
      </w:r>
      <w:r>
        <w:t xml:space="preserve"> IsoF.” </w:t>
      </w:r>
      <w:r>
        <w:rPr>
          <w:i/>
          <w:iCs/>
        </w:rPr>
        <w:t>FEMS Microbiol Ecol</w:t>
      </w:r>
      <w:r>
        <w:t xml:space="preserve"> 72 (1): 22–34.</w:t>
      </w:r>
    </w:p>
    <w:p w:rsidR="008319B5" w:rsidRDefault="00000000">
      <w:pPr>
        <w:pStyle w:val="Bibliography"/>
      </w:pPr>
      <w:bookmarkStart w:id="29" w:name="ref-Herzog2019"/>
      <w:bookmarkEnd w:id="28"/>
      <w:r>
        <w:lastRenderedPageBreak/>
        <w:t xml:space="preserve">Herzog, R, N Peschek, KS Fröhlich, K Schumacher, and K Papenfort. 2019. “Three Autoinducer Molecules Act in Concert to Control Virulence Gene Expression in Vibrio Cholerae.” </w:t>
      </w:r>
      <w:r>
        <w:rPr>
          <w:i/>
          <w:iCs/>
        </w:rPr>
        <w:t>Nucleic Acids Res</w:t>
      </w:r>
      <w:r>
        <w:t xml:space="preserve"> 47 (6): 3171–83.</w:t>
      </w:r>
    </w:p>
    <w:p w:rsidR="008319B5" w:rsidRDefault="00000000">
      <w:pPr>
        <w:pStyle w:val="Bibliography"/>
      </w:pPr>
      <w:bookmarkStart w:id="30" w:name="ref-James2000"/>
      <w:bookmarkEnd w:id="29"/>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8319B5" w:rsidRDefault="00000000">
      <w:pPr>
        <w:pStyle w:val="Bibliography"/>
      </w:pPr>
      <w:bookmarkStart w:id="31" w:name="ref-Kaplan2008"/>
      <w:bookmarkEnd w:id="30"/>
      <w:r>
        <w:t xml:space="preserve">Kaplan, S, A Bren, A Zaslaver, E Dekel, and U Alon. 2008. “Diverse Two-Dimensional Input Functions Control Bacterial Sugar Genes.” </w:t>
      </w:r>
      <w:r>
        <w:rPr>
          <w:i/>
          <w:iCs/>
        </w:rPr>
        <w:t>Mol Cell</w:t>
      </w:r>
      <w:r>
        <w:t xml:space="preserve"> 29 (6): 786–92.</w:t>
      </w:r>
    </w:p>
    <w:p w:rsidR="008319B5" w:rsidRDefault="00000000">
      <w:pPr>
        <w:pStyle w:val="Bibliography"/>
      </w:pPr>
      <w:bookmarkStart w:id="32" w:name="ref-deKievit2002"/>
      <w:bookmarkEnd w:id="31"/>
      <w:r>
        <w:t xml:space="preserve">Kievit, TR de, Y Kakai, JK Register, EC Pesci, and BH Iglewski. 2002. “Role of the </w:t>
      </w:r>
      <w:r>
        <w:rPr>
          <w:i/>
          <w:iCs/>
        </w:rPr>
        <w:t>Pseudomonas Aeruginosa</w:t>
      </w:r>
      <w:r>
        <w:t xml:space="preserve"> </w:t>
      </w:r>
      <w:r>
        <w:rPr>
          <w:i/>
          <w:iCs/>
        </w:rPr>
        <w:t>Las</w:t>
      </w:r>
      <w:r>
        <w:t xml:space="preserve"> and </w:t>
      </w:r>
      <w:r>
        <w:rPr>
          <w:i/>
          <w:iCs/>
        </w:rPr>
        <w:t>Rhl</w:t>
      </w:r>
      <w:r>
        <w:t xml:space="preserve"> Quorum-Sensing Systems in </w:t>
      </w:r>
      <w:r>
        <w:rPr>
          <w:i/>
          <w:iCs/>
        </w:rPr>
        <w:t>rhlI</w:t>
      </w:r>
      <w:r>
        <w:t xml:space="preserve"> Regulation.” </w:t>
      </w:r>
      <w:r>
        <w:rPr>
          <w:i/>
          <w:iCs/>
        </w:rPr>
        <w:t>FEMS Microbiol Lett</w:t>
      </w:r>
      <w:r>
        <w:t xml:space="preserve"> 212 (1): 101–6.</w:t>
      </w:r>
    </w:p>
    <w:p w:rsidR="008319B5" w:rsidRDefault="00000000">
      <w:pPr>
        <w:pStyle w:val="Bibliography"/>
      </w:pPr>
      <w:bookmarkStart w:id="33" w:name="ref-Kiratisin2002"/>
      <w:bookmarkEnd w:id="32"/>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8319B5" w:rsidRDefault="00000000">
      <w:pPr>
        <w:pStyle w:val="Bibliography"/>
      </w:pPr>
      <w:bookmarkStart w:id="34" w:name="ref-Latifi1996"/>
      <w:bookmarkEnd w:id="33"/>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8319B5" w:rsidRDefault="00000000">
      <w:pPr>
        <w:pStyle w:val="Bibliography"/>
      </w:pPr>
      <w:bookmarkStart w:id="35" w:name="ref-Lazazzera1997"/>
      <w:bookmarkEnd w:id="34"/>
      <w:r>
        <w:t xml:space="preserve">Lazazzera, BA, JM Solomon, and AD Grossman. 1997. “An Exported Peptide Functions Intracellularly to Contribute to Cell Density Signaling in b. Subtilis.” </w:t>
      </w:r>
      <w:r>
        <w:rPr>
          <w:i/>
          <w:iCs/>
        </w:rPr>
        <w:t>Cell</w:t>
      </w:r>
      <w:r>
        <w:t xml:space="preserve"> 89 (6): 917–25.</w:t>
      </w:r>
    </w:p>
    <w:p w:rsidR="008319B5" w:rsidRDefault="00000000">
      <w:pPr>
        <w:pStyle w:val="Bibliography"/>
      </w:pPr>
      <w:bookmarkStart w:id="36" w:name="ref-Lee2015"/>
      <w:bookmarkEnd w:id="35"/>
      <w:r>
        <w:t xml:space="preserve">Lee, J, and L Zhang. 2015. “The Hierarchy Quorum Sensing Network in </w:t>
      </w:r>
      <w:r>
        <w:rPr>
          <w:i/>
          <w:iCs/>
        </w:rPr>
        <w:t>Pseudomonas Aeruginosa</w:t>
      </w:r>
      <w:r>
        <w:t xml:space="preserve">.” </w:t>
      </w:r>
      <w:r>
        <w:rPr>
          <w:i/>
          <w:iCs/>
        </w:rPr>
        <w:t>Protein Cell</w:t>
      </w:r>
      <w:r>
        <w:t xml:space="preserve"> 6 (1): 26–41.</w:t>
      </w:r>
    </w:p>
    <w:p w:rsidR="008319B5" w:rsidRDefault="00000000">
      <w:pPr>
        <w:pStyle w:val="Bibliography"/>
      </w:pPr>
      <w:bookmarkStart w:id="37" w:name="ref-Long2009"/>
      <w:bookmarkEnd w:id="36"/>
      <w:r>
        <w:t xml:space="preserve">Long, T, KC Tu, Y Wang, P Mehta, NP Ong, BL Bassler, and NS Wingreen. 2009. “Quantifying the Integration of Quorum-Sensing Signals with Single-Cell Resolution.” </w:t>
      </w:r>
      <w:r>
        <w:rPr>
          <w:i/>
          <w:iCs/>
        </w:rPr>
        <w:t>PLoS Biol</w:t>
      </w:r>
      <w:r>
        <w:t xml:space="preserve"> 7 (3): e68.</w:t>
      </w:r>
    </w:p>
    <w:p w:rsidR="008319B5" w:rsidRDefault="00000000">
      <w:pPr>
        <w:pStyle w:val="Bibliography"/>
      </w:pPr>
      <w:bookmarkStart w:id="38" w:name="ref-McGrath2004"/>
      <w:bookmarkEnd w:id="37"/>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8319B5" w:rsidRDefault="00000000">
      <w:pPr>
        <w:pStyle w:val="Bibliography"/>
      </w:pPr>
      <w:bookmarkStart w:id="39" w:name="ref-Medina2003"/>
      <w:bookmarkEnd w:id="38"/>
      <w:r>
        <w:t xml:space="preserve">Medina, G, K Juárez, R Díaz, and G Soberón-Chávez. 2003. “Transcriptional Regulation of </w:t>
      </w:r>
      <w:r>
        <w:rPr>
          <w:i/>
          <w:iCs/>
        </w:rPr>
        <w:t>Pseudomonas Aeruginosa</w:t>
      </w:r>
      <w:r>
        <w:t xml:space="preserve"> </w:t>
      </w:r>
      <w:r>
        <w:rPr>
          <w:i/>
          <w:iCs/>
        </w:rPr>
        <w:t>rhlR,</w:t>
      </w:r>
      <w:r>
        <w:t xml:space="preserve"> Encoding a Quorum-Sensing Regulatory Protein.” </w:t>
      </w:r>
      <w:r>
        <w:rPr>
          <w:i/>
          <w:iCs/>
        </w:rPr>
        <w:t>Microbiology (Reading)</w:t>
      </w:r>
      <w:r>
        <w:t xml:space="preserve"> 149 (Pt 11): 3073–81.</w:t>
      </w:r>
    </w:p>
    <w:p w:rsidR="008319B5" w:rsidRDefault="00000000">
      <w:pPr>
        <w:pStyle w:val="Bibliography"/>
      </w:pPr>
      <w:bookmarkStart w:id="40" w:name="ref-Nouwens2003"/>
      <w:bookmarkEnd w:id="39"/>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8319B5" w:rsidRDefault="00000000">
      <w:pPr>
        <w:pStyle w:val="Bibliography"/>
      </w:pPr>
      <w:bookmarkStart w:id="41" w:name="ref-Pai2009"/>
      <w:bookmarkEnd w:id="40"/>
      <w:r>
        <w:t xml:space="preserve">Pai, A, and L You. 2009. “Optimal Tuning of Bacterial Sensing Potential.” </w:t>
      </w:r>
      <w:r>
        <w:rPr>
          <w:i/>
          <w:iCs/>
        </w:rPr>
        <w:t>Mol Syst Biol</w:t>
      </w:r>
      <w:r>
        <w:t xml:space="preserve"> 5: 286.</w:t>
      </w:r>
    </w:p>
    <w:p w:rsidR="008319B5" w:rsidRDefault="00000000">
      <w:pPr>
        <w:pStyle w:val="Bibliography"/>
      </w:pPr>
      <w:bookmarkStart w:id="42" w:name="ref-Papenfort2016"/>
      <w:bookmarkEnd w:id="41"/>
      <w:r>
        <w:t xml:space="preserve">Papenfort, K, and BL Bassler. 2016. “Quorum Sensing Signal-Response Systems in Gram-Negative Bacteria.” </w:t>
      </w:r>
      <w:r>
        <w:rPr>
          <w:i/>
          <w:iCs/>
        </w:rPr>
        <w:t>Nat Rev Microbiol</w:t>
      </w:r>
      <w:r>
        <w:t xml:space="preserve"> 14 (9): 576–88.</w:t>
      </w:r>
    </w:p>
    <w:p w:rsidR="008319B5" w:rsidRDefault="00000000">
      <w:pPr>
        <w:pStyle w:val="Bibliography"/>
      </w:pPr>
      <w:bookmarkStart w:id="43" w:name="ref-Pearson1997"/>
      <w:bookmarkEnd w:id="42"/>
      <w:r>
        <w:lastRenderedPageBreak/>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8319B5" w:rsidRDefault="00000000">
      <w:pPr>
        <w:pStyle w:val="Bibliography"/>
      </w:pPr>
      <w:bookmarkStart w:id="44" w:name="ref-Pearson1999"/>
      <w:bookmarkEnd w:id="43"/>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8319B5" w:rsidRDefault="00000000">
      <w:pPr>
        <w:pStyle w:val="Bibliography"/>
      </w:pPr>
      <w:bookmarkStart w:id="45" w:name="ref-Perez2018"/>
      <w:bookmarkEnd w:id="44"/>
      <w:r>
        <w:t xml:space="preserve">Pérez-Velázquez, J, and BA Hense. 2018. “Differential Equations Models to Study Quorum Sensing.” </w:t>
      </w:r>
      <w:r>
        <w:rPr>
          <w:i/>
          <w:iCs/>
        </w:rPr>
        <w:t>Methods Mol Biol</w:t>
      </w:r>
      <w:r>
        <w:t xml:space="preserve"> 1673: 253–71.</w:t>
      </w:r>
    </w:p>
    <w:p w:rsidR="008319B5" w:rsidRDefault="00000000">
      <w:pPr>
        <w:pStyle w:val="Bibliography"/>
      </w:pPr>
      <w:bookmarkStart w:id="46" w:name="ref-Pesci1999"/>
      <w:bookmarkEnd w:id="45"/>
      <w:r>
        <w:t xml:space="preserve">Pesci, EC, JB Milbank, JP Pearson, S McKnight, AS Kende, EP Greenberg, and BH Iglewski. 1999. “Quinolone Signaling in the Cell-to-Cell Communication System of </w:t>
      </w:r>
      <w:r>
        <w:rPr>
          <w:i/>
          <w:iCs/>
        </w:rPr>
        <w:t>Pseudomonas Aeruginosa</w:t>
      </w:r>
      <w:r>
        <w:t xml:space="preserve">.” </w:t>
      </w:r>
      <w:r>
        <w:rPr>
          <w:i/>
          <w:iCs/>
        </w:rPr>
        <w:t>Proc Natl Acad Sci U S A</w:t>
      </w:r>
      <w:r>
        <w:t xml:space="preserve"> 96 (20): 11229–34.</w:t>
      </w:r>
    </w:p>
    <w:p w:rsidR="008319B5" w:rsidRDefault="00000000">
      <w:pPr>
        <w:pStyle w:val="Bibliography"/>
      </w:pPr>
      <w:bookmarkStart w:id="47" w:name="ref-Pesci1997"/>
      <w:bookmarkEnd w:id="46"/>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8319B5" w:rsidRDefault="00000000">
      <w:pPr>
        <w:pStyle w:val="Bibliography"/>
      </w:pPr>
      <w:bookmarkStart w:id="48" w:name="ref-Powell1968"/>
      <w:bookmarkEnd w:id="47"/>
      <w:r>
        <w:t>Powell, Michael JD. 1968. “A Fortran Subroutine for Solving Systems of Nonlinear Algebraic Equations.”</w:t>
      </w:r>
    </w:p>
    <w:p w:rsidR="008319B5" w:rsidRDefault="00000000">
      <w:pPr>
        <w:pStyle w:val="Bibliography"/>
      </w:pPr>
      <w:bookmarkStart w:id="49" w:name="ref-Ratkowsky1983"/>
      <w:bookmarkEnd w:id="48"/>
      <w:r>
        <w:t xml:space="preserve">Ratkowsky, David A. 1983. </w:t>
      </w:r>
      <w:r>
        <w:rPr>
          <w:i/>
          <w:iCs/>
        </w:rPr>
        <w:t>Nonlinear Regression Modeling: A Unified Practical Approach</w:t>
      </w:r>
      <w:r>
        <w:t>. Marcel Dekker Incorporated.</w:t>
      </w:r>
    </w:p>
    <w:p w:rsidR="008319B5" w:rsidRDefault="00000000">
      <w:pPr>
        <w:pStyle w:val="Bibliography"/>
      </w:pPr>
      <w:bookmarkStart w:id="50" w:name="ref-Rattray2022"/>
      <w:bookmarkEnd w:id="49"/>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8319B5" w:rsidRDefault="00000000">
      <w:pPr>
        <w:pStyle w:val="Bibliography"/>
      </w:pPr>
      <w:bookmarkStart w:id="51" w:name="ref-Santillán2008"/>
      <w:bookmarkEnd w:id="50"/>
      <w:r>
        <w:t xml:space="preserve">Santillán, Moises. 2008. “On the Use of the Hill Functions in Mathematical Models of Gene Regulatory Networks.” </w:t>
      </w:r>
      <w:r>
        <w:rPr>
          <w:i/>
          <w:iCs/>
        </w:rPr>
        <w:t>Mathematical Modelling of Natural Phenomena</w:t>
      </w:r>
      <w:r>
        <w:t xml:space="preserve"> 3 (2): 85–97.</w:t>
      </w:r>
    </w:p>
    <w:p w:rsidR="008319B5" w:rsidRDefault="00000000">
      <w:pPr>
        <w:pStyle w:val="Bibliography"/>
      </w:pPr>
      <w:bookmarkStart w:id="52" w:name="ref-Sauer1995"/>
      <w:bookmarkEnd w:id="51"/>
      <w:r>
        <w:t xml:space="preserve">Sauer, F, SK Hansen, and R Tjian. 1995. “Multiple TAFIIs Directing Synergistic Activation of Transcription.” </w:t>
      </w:r>
      <w:r>
        <w:rPr>
          <w:i/>
          <w:iCs/>
        </w:rPr>
        <w:t>Science</w:t>
      </w:r>
      <w:r>
        <w:t xml:space="preserve"> 270 (5243): 1783–88.</w:t>
      </w:r>
    </w:p>
    <w:p w:rsidR="008319B5" w:rsidRDefault="00000000">
      <w:pPr>
        <w:pStyle w:val="Bibliography"/>
      </w:pPr>
      <w:bookmarkStart w:id="53" w:name="ref-Schuster2007"/>
      <w:bookmarkEnd w:id="52"/>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8319B5" w:rsidRDefault="00000000">
      <w:pPr>
        <w:pStyle w:val="Bibliography"/>
      </w:pPr>
      <w:bookmarkStart w:id="54" w:name="ref-Sexton2017"/>
      <w:bookmarkEnd w:id="53"/>
      <w:r>
        <w:t xml:space="preserve">Sexton, DJ, and M Schuster. 2017. “Nutrient Limitation Determines the Fitness of Cheaters in Bacterial Siderophore Cooperation.” </w:t>
      </w:r>
      <w:r>
        <w:rPr>
          <w:i/>
          <w:iCs/>
        </w:rPr>
        <w:t>Nat Commun</w:t>
      </w:r>
      <w:r>
        <w:t xml:space="preserve"> 8 (1): 230.</w:t>
      </w:r>
    </w:p>
    <w:p w:rsidR="008319B5" w:rsidRDefault="00000000">
      <w:pPr>
        <w:pStyle w:val="Bibliography"/>
      </w:pPr>
      <w:bookmarkStart w:id="55" w:name="ref-Stearns1989"/>
      <w:bookmarkEnd w:id="54"/>
      <w:r>
        <w:t xml:space="preserve">Stearns, SC. 1989. “The Evolutionary Significance of Phenotypic Plasticity.” </w:t>
      </w:r>
      <w:r>
        <w:rPr>
          <w:i/>
          <w:iCs/>
        </w:rPr>
        <w:t>Bioscience</w:t>
      </w:r>
      <w:r>
        <w:t>.</w:t>
      </w:r>
    </w:p>
    <w:p w:rsidR="008319B5" w:rsidRDefault="00000000">
      <w:pPr>
        <w:pStyle w:val="Bibliography"/>
      </w:pPr>
      <w:bookmarkStart w:id="56" w:name="ref-Wang2013"/>
      <w:bookmarkEnd w:id="55"/>
      <w:r>
        <w:t xml:space="preserve">Wang, Y, H Wang, W Liang, AJ Hay, Z Zhong, B Kan, and J Zhu. 2013. “Quorum Sensing Regulatory Cascades Control Vibrio Fluvialis Pathogenesis.” </w:t>
      </w:r>
      <w:r>
        <w:rPr>
          <w:i/>
          <w:iCs/>
        </w:rPr>
        <w:t>J Bacteriol</w:t>
      </w:r>
      <w:r>
        <w:t xml:space="preserve"> 195 (16): 3583–89.</w:t>
      </w:r>
    </w:p>
    <w:p w:rsidR="008319B5" w:rsidRDefault="00000000">
      <w:pPr>
        <w:pStyle w:val="Bibliography"/>
      </w:pPr>
      <w:bookmarkStart w:id="57" w:name="ref-Ward2001"/>
      <w:bookmarkEnd w:id="56"/>
      <w:r>
        <w:t xml:space="preserve">Ward, JP, JR King, AJ Koerber, P Williams, JM Croft, and RE Sockett. 2001. “Mathematical Modelling of Quorum Sensing in Bacteria.” </w:t>
      </w:r>
      <w:r>
        <w:rPr>
          <w:i/>
          <w:iCs/>
        </w:rPr>
        <w:t>IMA J Math Appl Med Biol</w:t>
      </w:r>
      <w:r>
        <w:t xml:space="preserve"> 18 (3): 263–92.</w:t>
      </w:r>
    </w:p>
    <w:p w:rsidR="008319B5" w:rsidRDefault="00000000">
      <w:pPr>
        <w:pStyle w:val="Bibliography"/>
      </w:pPr>
      <w:bookmarkStart w:id="58" w:name="ref-Wargo2007"/>
      <w:bookmarkEnd w:id="57"/>
      <w:r>
        <w:t xml:space="preserve">Wargo, MJ, and DA Hogan. 2007. “Examination of </w:t>
      </w:r>
      <w:r>
        <w:rPr>
          <w:i/>
          <w:iCs/>
        </w:rPr>
        <w:t>Pseudomonas Aeruginosa</w:t>
      </w:r>
      <w:r>
        <w:t xml:space="preserve"> </w:t>
      </w:r>
      <w:r>
        <w:rPr>
          <w:i/>
          <w:iCs/>
        </w:rPr>
        <w:t>lasI</w:t>
      </w:r>
      <w:r>
        <w:t xml:space="preserve"> Regulation and 3-Oxo-C12-Homoserine Lactone Production Using a Heterologous </w:t>
      </w:r>
      <w:r>
        <w:rPr>
          <w:i/>
          <w:iCs/>
        </w:rPr>
        <w:t>Escherichia Coli</w:t>
      </w:r>
      <w:r>
        <w:t xml:space="preserve"> System.” </w:t>
      </w:r>
      <w:r>
        <w:rPr>
          <w:i/>
          <w:iCs/>
        </w:rPr>
        <w:t>FEMS Microbiol Lett</w:t>
      </w:r>
      <w:r>
        <w:t xml:space="preserve"> 273 (1): 38–44.</w:t>
      </w:r>
    </w:p>
    <w:p w:rsidR="008319B5" w:rsidRDefault="00000000">
      <w:pPr>
        <w:pStyle w:val="Bibliography"/>
      </w:pPr>
      <w:bookmarkStart w:id="59" w:name="ref-Waters2005"/>
      <w:bookmarkEnd w:id="58"/>
      <w:r>
        <w:lastRenderedPageBreak/>
        <w:t xml:space="preserve">Waters, CM, and BL Bassler. 2005. “Quorum Sensing: Cell-to-Cell Communication in Bacteria.” </w:t>
      </w:r>
      <w:r>
        <w:rPr>
          <w:i/>
          <w:iCs/>
        </w:rPr>
        <w:t>Annu Rev Cell Dev Biol</w:t>
      </w:r>
      <w:r>
        <w:t xml:space="preserve"> 21: 319–46.</w:t>
      </w:r>
    </w:p>
    <w:p w:rsidR="008319B5" w:rsidRDefault="00000000">
      <w:pPr>
        <w:pStyle w:val="Bibliography"/>
      </w:pPr>
      <w:bookmarkStart w:id="60" w:name="ref-Whiteley2017"/>
      <w:bookmarkEnd w:id="59"/>
      <w:r>
        <w:t xml:space="preserve">Whiteley, M, SP Diggle, and EP Greenberg. 2017. “Progress in and Promise of Bacterial Quorum Sensing Research.” </w:t>
      </w:r>
      <w:r>
        <w:rPr>
          <w:i/>
          <w:iCs/>
        </w:rPr>
        <w:t>Nature</w:t>
      </w:r>
      <w:r>
        <w:t xml:space="preserve"> 551 (7680): 313–20.</w:t>
      </w:r>
    </w:p>
    <w:p w:rsidR="008319B5" w:rsidRDefault="00000000">
      <w:pPr>
        <w:pStyle w:val="Bibliography"/>
      </w:pPr>
      <w:bookmarkStart w:id="61" w:name="ref-Whiteley1999"/>
      <w:bookmarkEnd w:id="60"/>
      <w:r>
        <w:t xml:space="preserve">Whiteley, M, KM Lee, and EP Greenberg. 1999. “Identification of Genes Controlled by Quorum Sensing in Pseudomonas Aeruginosa.” </w:t>
      </w:r>
      <w:r>
        <w:rPr>
          <w:i/>
          <w:iCs/>
        </w:rPr>
        <w:t>Proc Natl Acad Sci U S A</w:t>
      </w:r>
      <w:r>
        <w:t xml:space="preserve"> 96 (24): 13904–9.</w:t>
      </w:r>
      <w:bookmarkEnd w:id="0"/>
      <w:bookmarkEnd w:id="15"/>
      <w:bookmarkEnd w:id="17"/>
      <w:bookmarkEnd w:id="61"/>
    </w:p>
    <w:sectPr w:rsidR="008319B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7003D" w:rsidRDefault="0047003D">
      <w:pPr>
        <w:spacing w:after="0"/>
      </w:pPr>
      <w:r>
        <w:separator/>
      </w:r>
    </w:p>
  </w:endnote>
  <w:endnote w:type="continuationSeparator" w:id="0">
    <w:p w:rsidR="0047003D" w:rsidRDefault="004700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7003D" w:rsidRDefault="0047003D">
      <w:r>
        <w:separator/>
      </w:r>
    </w:p>
  </w:footnote>
  <w:footnote w:type="continuationSeparator" w:id="0">
    <w:p w:rsidR="0047003D" w:rsidRDefault="00470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0A6E0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076AC03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475220005">
    <w:abstractNumId w:val="0"/>
  </w:num>
  <w:num w:numId="3" w16cid:durableId="16299690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19B5"/>
    <w:rsid w:val="0047003D"/>
    <w:rsid w:val="008319B5"/>
    <w:rsid w:val="00E7097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5153D"/>
  <w15:docId w15:val="{F212CC99-F3F3-3349-9736-6783FCAFD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21" Type="http://schemas.openxmlformats.org/officeDocument/2006/relationships/image" Target="media/image15.png"/><Relationship Id="rId34" Type="http://schemas.openxmlformats.org/officeDocument/2006/relationships/image" Target="media/image28.sv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23</Pages>
  <Words>7029</Words>
  <Characters>40071</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2024-01-01T15:45:00Z</dcterms:created>
  <dcterms:modified xsi:type="dcterms:W3CDTF">2024-01-01T15:55:00Z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